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243D4" w14:textId="580795F0" w:rsidR="00644075" w:rsidRPr="00644075" w:rsidRDefault="00B8176A" w:rsidP="00D51A5B">
      <w:pPr>
        <w:shd w:val="clear" w:color="auto" w:fill="FFFFFF" w:themeFill="background1"/>
        <w:spacing w:after="120" w:line="360" w:lineRule="auto"/>
        <w:jc w:val="right"/>
        <w:rPr>
          <w:rFonts w:ascii="Arial" w:hAnsi="Arial" w:cs="Arial"/>
          <w:b/>
        </w:rPr>
      </w:pPr>
      <w:r>
        <w:rPr>
          <w:rFonts w:ascii="Arial" w:hAnsi="Arial" w:cs="Arial"/>
          <w:b/>
        </w:rPr>
        <w:t>November</w:t>
      </w:r>
      <w:r w:rsidR="002F620F">
        <w:rPr>
          <w:rFonts w:ascii="Arial" w:hAnsi="Arial" w:cs="Arial"/>
          <w:b/>
        </w:rPr>
        <w:t xml:space="preserve"> 2017</w:t>
      </w:r>
    </w:p>
    <w:p w14:paraId="49111678" w14:textId="4E4F3B2D" w:rsidR="008E0E63" w:rsidRPr="00644075" w:rsidRDefault="00CE75EE" w:rsidP="00E14015">
      <w:pPr>
        <w:shd w:val="clear" w:color="auto" w:fill="FFFFFF" w:themeFill="background1"/>
        <w:spacing w:after="0" w:line="360" w:lineRule="auto"/>
        <w:jc w:val="center"/>
        <w:rPr>
          <w:rFonts w:ascii="Arial" w:hAnsi="Arial" w:cs="Arial"/>
          <w:b/>
          <w:i/>
        </w:rPr>
      </w:pPr>
      <w:bookmarkStart w:id="0" w:name="_GoBack"/>
      <w:r>
        <w:rPr>
          <w:rFonts w:ascii="Arial" w:hAnsi="Arial" w:cs="Arial"/>
          <w:b/>
          <w:sz w:val="24"/>
        </w:rPr>
        <w:t xml:space="preserve">Trelleborg Builds </w:t>
      </w:r>
      <w:r w:rsidR="00D51A5B">
        <w:rPr>
          <w:rFonts w:ascii="Arial" w:hAnsi="Arial" w:cs="Arial"/>
          <w:b/>
          <w:sz w:val="24"/>
        </w:rPr>
        <w:t xml:space="preserve">a Strategic Alliance for </w:t>
      </w:r>
      <w:r w:rsidR="007F4C1D">
        <w:rPr>
          <w:rFonts w:ascii="Arial" w:hAnsi="Arial" w:cs="Arial"/>
          <w:b/>
          <w:sz w:val="24"/>
        </w:rPr>
        <w:t>the Future of Subsea Storage</w:t>
      </w:r>
    </w:p>
    <w:bookmarkEnd w:id="0"/>
    <w:p w14:paraId="2B8357A2" w14:textId="59640FA9" w:rsidR="00E14015" w:rsidRPr="00047504" w:rsidRDefault="00ED4B5E" w:rsidP="00CA0AF8">
      <w:pPr>
        <w:shd w:val="clear" w:color="auto" w:fill="FFFFFF" w:themeFill="background1"/>
        <w:spacing w:before="240" w:after="120" w:line="360" w:lineRule="auto"/>
        <w:jc w:val="both"/>
        <w:rPr>
          <w:rFonts w:ascii="Arial" w:hAnsi="Arial" w:cs="Arial"/>
        </w:rPr>
      </w:pPr>
      <w:r w:rsidRPr="00047504">
        <w:rPr>
          <w:rFonts w:ascii="Arial" w:hAnsi="Arial" w:cs="Arial"/>
        </w:rPr>
        <w:t xml:space="preserve">Trelleborg’s offshore operation </w:t>
      </w:r>
      <w:r w:rsidR="00CA0AF8" w:rsidRPr="00047504">
        <w:rPr>
          <w:rFonts w:ascii="Arial" w:hAnsi="Arial" w:cs="Arial"/>
        </w:rPr>
        <w:t>has signed a strategic alliance agreement with Safe Marine Transfer</w:t>
      </w:r>
      <w:r w:rsidR="007F4C1D" w:rsidRPr="00047504">
        <w:rPr>
          <w:rFonts w:ascii="Arial" w:hAnsi="Arial" w:cs="Arial"/>
        </w:rPr>
        <w:t>, LLC</w:t>
      </w:r>
      <w:r w:rsidR="00CE75EE">
        <w:rPr>
          <w:rFonts w:ascii="Arial" w:hAnsi="Arial" w:cs="Arial"/>
        </w:rPr>
        <w:t>,</w:t>
      </w:r>
      <w:r w:rsidR="00703EC6" w:rsidRPr="00047504">
        <w:rPr>
          <w:rFonts w:ascii="Arial" w:hAnsi="Arial" w:cs="Arial"/>
        </w:rPr>
        <w:t xml:space="preserve"> to</w:t>
      </w:r>
      <w:r w:rsidR="007F4C1D" w:rsidRPr="00047504">
        <w:rPr>
          <w:rFonts w:ascii="Arial" w:hAnsi="Arial" w:cs="Arial"/>
        </w:rPr>
        <w:t xml:space="preserve"> </w:t>
      </w:r>
      <w:r w:rsidR="00703EC6" w:rsidRPr="00047504">
        <w:rPr>
          <w:rFonts w:ascii="Arial" w:hAnsi="Arial" w:cs="Arial"/>
        </w:rPr>
        <w:t>collaboratively</w:t>
      </w:r>
      <w:r w:rsidR="007F4C1D" w:rsidRPr="00047504">
        <w:rPr>
          <w:rFonts w:ascii="Arial" w:hAnsi="Arial" w:cs="Arial"/>
        </w:rPr>
        <w:t xml:space="preserve"> </w:t>
      </w:r>
      <w:r w:rsidR="00703EC6" w:rsidRPr="00047504">
        <w:rPr>
          <w:rFonts w:ascii="Arial" w:hAnsi="Arial" w:cs="Arial"/>
        </w:rPr>
        <w:t xml:space="preserve">mature and </w:t>
      </w:r>
      <w:r w:rsidR="00290317" w:rsidRPr="00047504">
        <w:rPr>
          <w:rFonts w:ascii="Arial" w:hAnsi="Arial" w:cs="Arial"/>
        </w:rPr>
        <w:t xml:space="preserve">commercialize </w:t>
      </w:r>
      <w:r w:rsidR="00CE75EE">
        <w:rPr>
          <w:rFonts w:ascii="Arial" w:hAnsi="Arial" w:cs="Arial"/>
        </w:rPr>
        <w:t>Safe Marine Transfer’s</w:t>
      </w:r>
      <w:r w:rsidR="00CE75EE" w:rsidRPr="00047504">
        <w:rPr>
          <w:rFonts w:ascii="Arial" w:hAnsi="Arial" w:cs="Arial"/>
        </w:rPr>
        <w:t xml:space="preserve"> </w:t>
      </w:r>
      <w:r w:rsidR="00703EC6" w:rsidRPr="00047504">
        <w:rPr>
          <w:rFonts w:ascii="Arial" w:hAnsi="Arial" w:cs="Arial"/>
        </w:rPr>
        <w:t xml:space="preserve">subsea chemical storage and injection system.  </w:t>
      </w:r>
      <w:r w:rsidR="007F4C1D" w:rsidRPr="00047504">
        <w:rPr>
          <w:rFonts w:ascii="Arial" w:hAnsi="Arial" w:cs="Arial"/>
        </w:rPr>
        <w:t xml:space="preserve"> </w:t>
      </w:r>
    </w:p>
    <w:p w14:paraId="471DA98D" w14:textId="34B26475" w:rsidR="00D51A5B" w:rsidRPr="00047504" w:rsidRDefault="00D51A5B" w:rsidP="00CA0AF8">
      <w:pPr>
        <w:shd w:val="clear" w:color="auto" w:fill="FFFFFF" w:themeFill="background1"/>
        <w:spacing w:before="240" w:after="120" w:line="360" w:lineRule="auto"/>
        <w:jc w:val="both"/>
        <w:rPr>
          <w:rFonts w:ascii="Arial" w:hAnsi="Arial" w:cs="Arial"/>
        </w:rPr>
      </w:pPr>
      <w:r w:rsidRPr="00047504">
        <w:rPr>
          <w:rFonts w:ascii="Arial" w:hAnsi="Arial" w:cs="Arial"/>
        </w:rPr>
        <w:t>Art</w:t>
      </w:r>
      <w:r w:rsidR="00290317" w:rsidRPr="00047504">
        <w:rPr>
          <w:rFonts w:ascii="Arial" w:hAnsi="Arial" w:cs="Arial"/>
        </w:rPr>
        <w:t xml:space="preserve"> J.</w:t>
      </w:r>
      <w:r w:rsidRPr="00047504">
        <w:rPr>
          <w:rFonts w:ascii="Arial" w:hAnsi="Arial" w:cs="Arial"/>
        </w:rPr>
        <w:t xml:space="preserve"> Schroeder</w:t>
      </w:r>
      <w:r w:rsidR="00DA25ED">
        <w:rPr>
          <w:rFonts w:ascii="Arial" w:hAnsi="Arial" w:cs="Arial"/>
        </w:rPr>
        <w:t>,</w:t>
      </w:r>
      <w:r w:rsidR="00290317" w:rsidRPr="00047504">
        <w:rPr>
          <w:rFonts w:ascii="Arial" w:hAnsi="Arial" w:cs="Arial"/>
        </w:rPr>
        <w:t xml:space="preserve"> Jr.</w:t>
      </w:r>
      <w:r w:rsidRPr="00047504">
        <w:rPr>
          <w:rFonts w:ascii="Arial" w:hAnsi="Arial" w:cs="Arial"/>
        </w:rPr>
        <w:t xml:space="preserve"> </w:t>
      </w:r>
      <w:r w:rsidR="00A45ABA" w:rsidRPr="00047504">
        <w:rPr>
          <w:rFonts w:ascii="Arial" w:hAnsi="Arial" w:cs="Arial"/>
        </w:rPr>
        <w:t>P</w:t>
      </w:r>
      <w:r w:rsidR="00290317" w:rsidRPr="00047504">
        <w:rPr>
          <w:rFonts w:ascii="Arial" w:hAnsi="Arial" w:cs="Arial"/>
        </w:rPr>
        <w:t>rincipal</w:t>
      </w:r>
      <w:r w:rsidRPr="00047504">
        <w:rPr>
          <w:rFonts w:ascii="Arial" w:hAnsi="Arial" w:cs="Arial"/>
        </w:rPr>
        <w:t xml:space="preserve"> with </w:t>
      </w:r>
      <w:r w:rsidR="00DA25ED" w:rsidRPr="00047504">
        <w:rPr>
          <w:rFonts w:ascii="Arial" w:hAnsi="Arial" w:cs="Arial"/>
        </w:rPr>
        <w:t xml:space="preserve">Safe Marine Transfer </w:t>
      </w:r>
      <w:r w:rsidRPr="00047504">
        <w:rPr>
          <w:rFonts w:ascii="Arial" w:hAnsi="Arial" w:cs="Arial"/>
        </w:rPr>
        <w:t>states: “</w:t>
      </w:r>
      <w:r w:rsidR="00703EC6" w:rsidRPr="00047504">
        <w:rPr>
          <w:rFonts w:ascii="Arial" w:hAnsi="Arial" w:cs="Arial"/>
        </w:rPr>
        <w:t xml:space="preserve">After performing evaluations with several companies, we chose Trelleborg for </w:t>
      </w:r>
      <w:r w:rsidR="00CE75EE">
        <w:rPr>
          <w:rFonts w:ascii="Arial" w:hAnsi="Arial" w:cs="Arial"/>
        </w:rPr>
        <w:t>its</w:t>
      </w:r>
      <w:r w:rsidR="00CE75EE" w:rsidRPr="00047504">
        <w:rPr>
          <w:rFonts w:ascii="Arial" w:hAnsi="Arial" w:cs="Arial"/>
        </w:rPr>
        <w:t xml:space="preserve"> </w:t>
      </w:r>
      <w:r w:rsidR="00703EC6" w:rsidRPr="00047504">
        <w:rPr>
          <w:rFonts w:ascii="Arial" w:hAnsi="Arial" w:cs="Arial"/>
        </w:rPr>
        <w:t>material expertise</w:t>
      </w:r>
      <w:r w:rsidR="00DA25ED" w:rsidRPr="00047504">
        <w:rPr>
          <w:rFonts w:ascii="Arial" w:hAnsi="Arial" w:cs="Arial"/>
        </w:rPr>
        <w:t>, in</w:t>
      </w:r>
      <w:r w:rsidR="00703EC6" w:rsidRPr="00047504">
        <w:rPr>
          <w:rFonts w:ascii="Arial" w:hAnsi="Arial" w:cs="Arial"/>
        </w:rPr>
        <w:t>-depth applications know-how</w:t>
      </w:r>
      <w:r w:rsidR="00290317" w:rsidRPr="00047504">
        <w:rPr>
          <w:rFonts w:ascii="Arial" w:hAnsi="Arial" w:cs="Arial"/>
        </w:rPr>
        <w:t>, and global footprint</w:t>
      </w:r>
      <w:r w:rsidR="00703EC6" w:rsidRPr="00047504">
        <w:rPr>
          <w:rFonts w:ascii="Arial" w:hAnsi="Arial" w:cs="Arial"/>
        </w:rPr>
        <w:t xml:space="preserve">. </w:t>
      </w:r>
      <w:r w:rsidR="001177E8" w:rsidRPr="00047504">
        <w:rPr>
          <w:rFonts w:ascii="Arial" w:hAnsi="Arial" w:cs="Arial"/>
        </w:rPr>
        <w:t>The company is known for specializing in the development and production of syntactic foam and the</w:t>
      </w:r>
      <w:r w:rsidR="00703EC6" w:rsidRPr="00047504">
        <w:rPr>
          <w:rFonts w:ascii="Arial" w:hAnsi="Arial" w:cs="Arial"/>
        </w:rPr>
        <w:t xml:space="preserve"> Houston team is keen to share their vast buoyancy knowledge with us</w:t>
      </w:r>
      <w:r w:rsidR="00DA25ED">
        <w:rPr>
          <w:rFonts w:ascii="Arial" w:hAnsi="Arial" w:cs="Arial"/>
        </w:rPr>
        <w:t>. Our partnership will</w:t>
      </w:r>
      <w:r w:rsidR="00703EC6" w:rsidRPr="00047504">
        <w:rPr>
          <w:rFonts w:ascii="Arial" w:hAnsi="Arial" w:cs="Arial"/>
        </w:rPr>
        <w:t xml:space="preserve"> ensure we can accelerate </w:t>
      </w:r>
      <w:r w:rsidR="00290317" w:rsidRPr="00047504">
        <w:rPr>
          <w:rFonts w:ascii="Arial" w:hAnsi="Arial" w:cs="Arial"/>
        </w:rPr>
        <w:t xml:space="preserve">market delivery and improve </w:t>
      </w:r>
      <w:r w:rsidR="00703EC6" w:rsidRPr="00047504">
        <w:rPr>
          <w:rFonts w:ascii="Arial" w:hAnsi="Arial" w:cs="Arial"/>
        </w:rPr>
        <w:t>the performance of our products</w:t>
      </w:r>
      <w:r w:rsidR="00CE75EE">
        <w:rPr>
          <w:rFonts w:ascii="Arial" w:hAnsi="Arial" w:cs="Arial"/>
        </w:rPr>
        <w:t>,</w:t>
      </w:r>
      <w:r w:rsidR="00703EC6" w:rsidRPr="00047504">
        <w:rPr>
          <w:rFonts w:ascii="Arial" w:hAnsi="Arial" w:cs="Arial"/>
        </w:rPr>
        <w:t xml:space="preserve"> </w:t>
      </w:r>
      <w:r w:rsidR="001177E8" w:rsidRPr="00047504">
        <w:rPr>
          <w:rFonts w:ascii="Arial" w:hAnsi="Arial" w:cs="Arial"/>
        </w:rPr>
        <w:t>to meet the needs of our customers and the industry.”</w:t>
      </w:r>
    </w:p>
    <w:p w14:paraId="201E5253" w14:textId="19913C25" w:rsidR="001B3AD0" w:rsidRPr="00047504" w:rsidRDefault="00CA0AF8" w:rsidP="00CA0AF8">
      <w:pPr>
        <w:shd w:val="clear" w:color="auto" w:fill="FFFFFF" w:themeFill="background1"/>
        <w:spacing w:before="240" w:after="120" w:line="360" w:lineRule="auto"/>
        <w:jc w:val="both"/>
        <w:rPr>
          <w:rFonts w:ascii="Arial" w:hAnsi="Arial" w:cs="Arial"/>
        </w:rPr>
      </w:pPr>
      <w:r w:rsidRPr="00047504">
        <w:rPr>
          <w:rFonts w:ascii="Arial" w:hAnsi="Arial" w:cs="Arial"/>
        </w:rPr>
        <w:t>Phil Walsh, Business Development Manager</w:t>
      </w:r>
      <w:r w:rsidR="00967EBC" w:rsidRPr="00047504">
        <w:rPr>
          <w:rFonts w:ascii="Arial" w:hAnsi="Arial" w:cs="Arial"/>
        </w:rPr>
        <w:t xml:space="preserve"> </w:t>
      </w:r>
      <w:r w:rsidR="00FD0AE9" w:rsidRPr="00047504">
        <w:rPr>
          <w:rFonts w:ascii="Arial" w:hAnsi="Arial" w:cs="Arial"/>
        </w:rPr>
        <w:t>with</w:t>
      </w:r>
      <w:r w:rsidR="00CE75EE">
        <w:rPr>
          <w:rFonts w:ascii="Arial" w:hAnsi="Arial" w:cs="Arial"/>
        </w:rPr>
        <w:t>in</w:t>
      </w:r>
      <w:r w:rsidR="00FD0AE9" w:rsidRPr="00047504">
        <w:rPr>
          <w:rFonts w:ascii="Arial" w:hAnsi="Arial" w:cs="Arial"/>
        </w:rPr>
        <w:t xml:space="preserve"> Trelleborg’s offshore operation</w:t>
      </w:r>
      <w:r w:rsidR="00B411C7" w:rsidRPr="00047504">
        <w:rPr>
          <w:rFonts w:ascii="Arial" w:hAnsi="Arial" w:cs="Arial"/>
        </w:rPr>
        <w:t>,</w:t>
      </w:r>
      <w:r w:rsidR="00FD0AE9" w:rsidRPr="00047504">
        <w:rPr>
          <w:rFonts w:ascii="Arial" w:hAnsi="Arial" w:cs="Arial"/>
        </w:rPr>
        <w:t xml:space="preserve"> states: </w:t>
      </w:r>
      <w:r w:rsidR="0061733A" w:rsidRPr="00047504">
        <w:rPr>
          <w:rFonts w:ascii="Arial" w:hAnsi="Arial" w:cs="Arial"/>
        </w:rPr>
        <w:t>“</w:t>
      </w:r>
      <w:r w:rsidR="001177E8" w:rsidRPr="00047504">
        <w:rPr>
          <w:rFonts w:ascii="Arial" w:hAnsi="Arial" w:cs="Arial"/>
        </w:rPr>
        <w:t xml:space="preserve">Working with Safe Marine Transfer enables us to use our </w:t>
      </w:r>
      <w:proofErr w:type="spellStart"/>
      <w:r w:rsidR="001177E8" w:rsidRPr="00047504">
        <w:rPr>
          <w:rFonts w:ascii="Arial" w:hAnsi="Arial" w:cs="Arial"/>
        </w:rPr>
        <w:t>deepwater</w:t>
      </w:r>
      <w:proofErr w:type="spellEnd"/>
      <w:r w:rsidR="001177E8" w:rsidRPr="00047504">
        <w:rPr>
          <w:rFonts w:ascii="Arial" w:hAnsi="Arial" w:cs="Arial"/>
        </w:rPr>
        <w:t xml:space="preserve"> buoyancy knowledge for a new application. </w:t>
      </w:r>
      <w:r w:rsidR="00B8176A" w:rsidRPr="00047504">
        <w:rPr>
          <w:rFonts w:ascii="Arial" w:hAnsi="Arial" w:cs="Arial"/>
        </w:rPr>
        <w:t>As a proactive business partner, we strive to add value far beyond better function in critical applications. We enhance the business performance and competitiveness of our customers by setting up partnerships with companies like Safe Mar</w:t>
      </w:r>
      <w:r w:rsidR="00830E8E">
        <w:rPr>
          <w:rFonts w:ascii="Arial" w:hAnsi="Arial" w:cs="Arial"/>
        </w:rPr>
        <w:t>i</w:t>
      </w:r>
      <w:r w:rsidR="00B8176A" w:rsidRPr="00047504">
        <w:rPr>
          <w:rFonts w:ascii="Arial" w:hAnsi="Arial" w:cs="Arial"/>
        </w:rPr>
        <w:t>ne Transfer.</w:t>
      </w:r>
      <w:r w:rsidR="00DA25ED">
        <w:rPr>
          <w:rFonts w:ascii="Arial" w:hAnsi="Arial" w:cs="Arial"/>
        </w:rPr>
        <w:t>”</w:t>
      </w:r>
      <w:r w:rsidR="00B8176A" w:rsidRPr="00047504">
        <w:rPr>
          <w:rFonts w:ascii="Arial" w:hAnsi="Arial" w:cs="Arial"/>
        </w:rPr>
        <w:t xml:space="preserve"> </w:t>
      </w:r>
    </w:p>
    <w:p w14:paraId="02A63F06" w14:textId="5BE3DC55" w:rsidR="00DA25ED" w:rsidRDefault="00CA0AF8" w:rsidP="00CA0AF8">
      <w:pPr>
        <w:shd w:val="clear" w:color="auto" w:fill="FFFFFF" w:themeFill="background1"/>
        <w:spacing w:before="240" w:after="120" w:line="360" w:lineRule="auto"/>
        <w:jc w:val="both"/>
        <w:rPr>
          <w:rFonts w:ascii="Arial" w:hAnsi="Arial" w:cs="Arial"/>
          <w:color w:val="222222"/>
        </w:rPr>
      </w:pPr>
      <w:r w:rsidRPr="00047504">
        <w:rPr>
          <w:rFonts w:ascii="Arial" w:hAnsi="Arial" w:cs="Arial"/>
        </w:rPr>
        <w:t>Safe Marine Transfer</w:t>
      </w:r>
      <w:r w:rsidR="00A45ABA" w:rsidRPr="00047504">
        <w:rPr>
          <w:rFonts w:ascii="Arial" w:hAnsi="Arial" w:cs="Arial"/>
        </w:rPr>
        <w:t xml:space="preserve"> </w:t>
      </w:r>
      <w:r w:rsidR="001F30D3" w:rsidRPr="00047504">
        <w:rPr>
          <w:rFonts w:ascii="Arial" w:hAnsi="Arial" w:cs="Arial"/>
        </w:rPr>
        <w:t xml:space="preserve">was established to </w:t>
      </w:r>
      <w:r w:rsidR="00E10E87" w:rsidRPr="00047504">
        <w:rPr>
          <w:rFonts w:ascii="Arial" w:hAnsi="Arial" w:cs="Arial"/>
          <w:color w:val="222222"/>
        </w:rPr>
        <w:t xml:space="preserve">provide subsea chemical storage and injection of production chemicals at the point of need </w:t>
      </w:r>
      <w:r w:rsidR="00420D03">
        <w:rPr>
          <w:rFonts w:ascii="Arial" w:hAnsi="Arial" w:cs="Arial"/>
          <w:color w:val="222222"/>
        </w:rPr>
        <w:t xml:space="preserve">down to </w:t>
      </w:r>
      <w:r w:rsidR="00E10E87" w:rsidRPr="00047504">
        <w:rPr>
          <w:rFonts w:ascii="Arial" w:hAnsi="Arial" w:cs="Arial"/>
          <w:color w:val="222222"/>
        </w:rPr>
        <w:t>10,000 f</w:t>
      </w:r>
      <w:r w:rsidR="00420D03">
        <w:rPr>
          <w:rFonts w:ascii="Arial" w:hAnsi="Arial" w:cs="Arial"/>
          <w:color w:val="222222"/>
        </w:rPr>
        <w:t xml:space="preserve">eet of seawater </w:t>
      </w:r>
      <w:r w:rsidR="00E10E87" w:rsidRPr="00047504">
        <w:rPr>
          <w:rFonts w:ascii="Arial" w:hAnsi="Arial" w:cs="Arial"/>
          <w:color w:val="222222"/>
        </w:rPr>
        <w:t xml:space="preserve">as a service to help accelerate growth </w:t>
      </w:r>
      <w:r w:rsidR="00C32438" w:rsidRPr="00047504">
        <w:rPr>
          <w:rFonts w:ascii="Arial" w:hAnsi="Arial" w:cs="Arial"/>
          <w:color w:val="222222"/>
        </w:rPr>
        <w:t xml:space="preserve">and profitable exploitation of resources via </w:t>
      </w:r>
      <w:r w:rsidR="00E10E87" w:rsidRPr="00047504">
        <w:rPr>
          <w:rFonts w:ascii="Arial" w:hAnsi="Arial" w:cs="Arial"/>
          <w:color w:val="222222"/>
        </w:rPr>
        <w:t xml:space="preserve">subsea tie-backs. </w:t>
      </w:r>
    </w:p>
    <w:p w14:paraId="59318CBB" w14:textId="5644DDB6" w:rsidR="00E14015" w:rsidRPr="00047504" w:rsidRDefault="00BE70F7" w:rsidP="00CA0AF8">
      <w:pPr>
        <w:shd w:val="clear" w:color="auto" w:fill="FFFFFF" w:themeFill="background1"/>
        <w:spacing w:before="240" w:after="120" w:line="360" w:lineRule="auto"/>
        <w:jc w:val="both"/>
        <w:rPr>
          <w:rFonts w:ascii="Arial" w:hAnsi="Arial" w:cs="Arial"/>
        </w:rPr>
      </w:pPr>
      <w:r w:rsidRPr="00047504">
        <w:rPr>
          <w:rFonts w:ascii="Arial" w:hAnsi="Arial" w:cs="Arial"/>
        </w:rPr>
        <w:t xml:space="preserve">Find out more about </w:t>
      </w:r>
      <w:hyperlink r:id="rId9" w:history="1">
        <w:r w:rsidR="001F30D3" w:rsidRPr="00047504">
          <w:rPr>
            <w:rStyle w:val="Hyperlink"/>
            <w:rFonts w:ascii="Arial" w:hAnsi="Arial" w:cs="Arial"/>
          </w:rPr>
          <w:t>Safe Marine Transfer</w:t>
        </w:r>
      </w:hyperlink>
      <w:r w:rsidR="001F30D3" w:rsidRPr="00047504">
        <w:rPr>
          <w:rFonts w:ascii="Arial" w:hAnsi="Arial" w:cs="Arial"/>
        </w:rPr>
        <w:t>.</w:t>
      </w:r>
    </w:p>
    <w:p w14:paraId="25F2A0D9" w14:textId="77777777" w:rsidR="00824711" w:rsidRPr="00644075" w:rsidRDefault="00824711" w:rsidP="00211ACE">
      <w:pPr>
        <w:spacing w:after="120" w:line="360" w:lineRule="auto"/>
        <w:jc w:val="center"/>
        <w:rPr>
          <w:rFonts w:ascii="Arial" w:hAnsi="Arial" w:cs="Arial"/>
          <w:b/>
        </w:rPr>
      </w:pPr>
      <w:r w:rsidRPr="00644075">
        <w:rPr>
          <w:rFonts w:ascii="Arial" w:hAnsi="Arial" w:cs="Arial"/>
          <w:b/>
        </w:rPr>
        <w:t>~ENDS~</w:t>
      </w:r>
    </w:p>
    <w:p w14:paraId="681172AE" w14:textId="77777777" w:rsidR="00824711" w:rsidRPr="00211ACE" w:rsidRDefault="00824711" w:rsidP="00644075">
      <w:pPr>
        <w:spacing w:after="120" w:line="360" w:lineRule="auto"/>
        <w:ind w:left="-144"/>
        <w:jc w:val="both"/>
        <w:rPr>
          <w:rFonts w:ascii="Arial" w:hAnsi="Arial" w:cs="Arial"/>
          <w:bCs/>
          <w:sz w:val="20"/>
          <w:szCs w:val="20"/>
        </w:rPr>
      </w:pPr>
      <w:r w:rsidRPr="00211ACE">
        <w:rPr>
          <w:rFonts w:ascii="Arial" w:hAnsi="Arial" w:cs="Arial"/>
          <w:b/>
          <w:sz w:val="20"/>
          <w:szCs w:val="20"/>
        </w:rPr>
        <w:t>For press information:</w:t>
      </w:r>
      <w:r w:rsidRPr="00211ACE">
        <w:rPr>
          <w:rFonts w:ascii="Arial" w:hAnsi="Arial" w:cs="Arial"/>
          <w:sz w:val="20"/>
          <w:szCs w:val="20"/>
        </w:rPr>
        <w:t xml:space="preserve">  </w:t>
      </w:r>
    </w:p>
    <w:p w14:paraId="006972DA" w14:textId="77777777" w:rsidR="00824711" w:rsidRPr="00211ACE" w:rsidRDefault="00824711" w:rsidP="00644075">
      <w:pPr>
        <w:autoSpaceDE w:val="0"/>
        <w:autoSpaceDN w:val="0"/>
        <w:adjustRightInd w:val="0"/>
        <w:spacing w:after="120" w:line="360" w:lineRule="auto"/>
        <w:ind w:left="-142"/>
        <w:jc w:val="both"/>
        <w:rPr>
          <w:rFonts w:ascii="Arial" w:hAnsi="Arial" w:cs="Arial"/>
          <w:sz w:val="20"/>
          <w:szCs w:val="20"/>
        </w:rPr>
      </w:pPr>
      <w:r w:rsidRPr="00211ACE">
        <w:rPr>
          <w:rFonts w:ascii="Arial" w:hAnsi="Arial" w:cs="Arial"/>
          <w:iCs/>
          <w:sz w:val="20"/>
          <w:szCs w:val="20"/>
        </w:rPr>
        <w:t xml:space="preserve">For additional information on Trelleborg solutions for all offshore and subsea markets, please call Ruth Clay, </w:t>
      </w:r>
      <w:r w:rsidRPr="00211ACE">
        <w:rPr>
          <w:rFonts w:ascii="Arial" w:hAnsi="Arial" w:cs="Arial"/>
          <w:sz w:val="20"/>
          <w:szCs w:val="20"/>
        </w:rPr>
        <w:t xml:space="preserve">Mobile: +12817405755; </w:t>
      </w:r>
      <w:hyperlink r:id="rId10" w:history="1">
        <w:r w:rsidRPr="00211ACE">
          <w:rPr>
            <w:rStyle w:val="Hyperlink"/>
            <w:rFonts w:ascii="Arial" w:hAnsi="Arial" w:cs="Arial"/>
            <w:color w:val="auto"/>
            <w:sz w:val="20"/>
            <w:szCs w:val="20"/>
          </w:rPr>
          <w:t>ruth.clay@trelleborg.com</w:t>
        </w:r>
      </w:hyperlink>
      <w:r w:rsidRPr="00211ACE">
        <w:rPr>
          <w:rFonts w:ascii="Arial" w:eastAsia="SimSun" w:hAnsi="Arial" w:cs="Arial"/>
          <w:sz w:val="20"/>
          <w:szCs w:val="20"/>
        </w:rPr>
        <w:t>,</w:t>
      </w:r>
      <w:r w:rsidRPr="00211ACE">
        <w:rPr>
          <w:rFonts w:ascii="Arial" w:hAnsi="Arial" w:cs="Arial"/>
          <w:sz w:val="20"/>
          <w:szCs w:val="20"/>
        </w:rPr>
        <w:t xml:space="preserve"> </w:t>
      </w:r>
      <w:hyperlink r:id="rId11" w:history="1">
        <w:r w:rsidRPr="00211ACE">
          <w:rPr>
            <w:rStyle w:val="Hyperlink"/>
            <w:rFonts w:ascii="Arial" w:hAnsi="Arial" w:cs="Arial"/>
            <w:color w:val="auto"/>
            <w:sz w:val="20"/>
            <w:szCs w:val="20"/>
          </w:rPr>
          <w:t>@</w:t>
        </w:r>
        <w:proofErr w:type="spellStart"/>
        <w:r w:rsidRPr="00211ACE">
          <w:rPr>
            <w:rStyle w:val="Hyperlink"/>
            <w:rFonts w:ascii="Arial" w:hAnsi="Arial" w:cs="Arial"/>
            <w:color w:val="auto"/>
            <w:sz w:val="20"/>
            <w:szCs w:val="20"/>
          </w:rPr>
          <w:t>OffshoreInsi</w:t>
        </w:r>
      </w:hyperlink>
      <w:r w:rsidRPr="00211ACE">
        <w:rPr>
          <w:rStyle w:val="Hyperlink"/>
          <w:rFonts w:ascii="Arial" w:hAnsi="Arial" w:cs="Arial"/>
          <w:color w:val="auto"/>
          <w:sz w:val="20"/>
          <w:szCs w:val="20"/>
        </w:rPr>
        <w:t>ght</w:t>
      </w:r>
      <w:proofErr w:type="spellEnd"/>
      <w:r w:rsidRPr="00211ACE">
        <w:rPr>
          <w:rStyle w:val="Hyperlink"/>
          <w:rFonts w:ascii="Arial" w:hAnsi="Arial" w:cs="Arial"/>
          <w:color w:val="auto"/>
          <w:sz w:val="20"/>
          <w:szCs w:val="20"/>
        </w:rPr>
        <w:t xml:space="preserve">, </w:t>
      </w:r>
      <w:hyperlink r:id="rId12" w:history="1">
        <w:r w:rsidRPr="00211ACE">
          <w:rPr>
            <w:rStyle w:val="Hyperlink"/>
            <w:rFonts w:ascii="Arial" w:hAnsi="Arial" w:cs="Arial"/>
            <w:color w:val="auto"/>
            <w:sz w:val="20"/>
            <w:szCs w:val="20"/>
          </w:rPr>
          <w:t>LinkedIn</w:t>
        </w:r>
      </w:hyperlink>
      <w:r w:rsidRPr="00211ACE">
        <w:rPr>
          <w:rFonts w:ascii="Arial" w:hAnsi="Arial" w:cs="Arial"/>
          <w:sz w:val="20"/>
          <w:szCs w:val="20"/>
        </w:rPr>
        <w:t xml:space="preserve">. </w:t>
      </w:r>
    </w:p>
    <w:p w14:paraId="6867CF6A" w14:textId="77777777" w:rsidR="00824711" w:rsidRPr="00211ACE" w:rsidRDefault="00824711" w:rsidP="00644075">
      <w:pPr>
        <w:spacing w:after="120" w:line="360" w:lineRule="auto"/>
        <w:ind w:left="-142"/>
        <w:jc w:val="both"/>
        <w:rPr>
          <w:rFonts w:ascii="Arial" w:hAnsi="Arial" w:cs="Arial"/>
          <w:sz w:val="20"/>
          <w:szCs w:val="20"/>
          <w:lang w:val="en-GB"/>
        </w:rPr>
      </w:pPr>
      <w:r w:rsidRPr="00211ACE">
        <w:rPr>
          <w:rFonts w:ascii="Arial" w:hAnsi="Arial" w:cs="Arial"/>
          <w:b/>
          <w:iCs/>
          <w:sz w:val="20"/>
          <w:szCs w:val="20"/>
          <w:lang w:val="en-GB"/>
        </w:rPr>
        <w:t xml:space="preserve">Notes to Editors: </w:t>
      </w:r>
    </w:p>
    <w:p w14:paraId="718CF484" w14:textId="77777777" w:rsidR="00824711" w:rsidRPr="00C12D34" w:rsidRDefault="00824711" w:rsidP="00644075">
      <w:pPr>
        <w:spacing w:after="120" w:line="360" w:lineRule="auto"/>
        <w:ind w:left="-142"/>
        <w:jc w:val="both"/>
        <w:rPr>
          <w:rFonts w:ascii="Arial" w:eastAsiaTheme="minorEastAsia" w:hAnsi="Arial" w:cs="Arial"/>
          <w:sz w:val="20"/>
          <w:szCs w:val="20"/>
          <w:lang w:val="en-GB" w:eastAsia="zh-TW" w:bidi="th-TH"/>
        </w:rPr>
      </w:pPr>
      <w:r w:rsidRPr="00C12D34">
        <w:rPr>
          <w:rFonts w:ascii="Arial" w:hAnsi="Arial" w:cs="Arial"/>
          <w:b/>
          <w:iCs/>
          <w:sz w:val="20"/>
          <w:szCs w:val="20"/>
          <w:lang w:val="en-GB"/>
        </w:rPr>
        <w:t>Trelleborg’s offshore operation and Trelleborg Group</w:t>
      </w:r>
    </w:p>
    <w:p w14:paraId="478D6077" w14:textId="77777777" w:rsidR="00824711" w:rsidRPr="00C12D34" w:rsidRDefault="00824711" w:rsidP="00C12D34">
      <w:pPr>
        <w:spacing w:after="120" w:line="240" w:lineRule="auto"/>
        <w:ind w:left="-142"/>
        <w:jc w:val="both"/>
        <w:rPr>
          <w:rFonts w:ascii="Arial" w:eastAsiaTheme="minorEastAsia" w:hAnsi="Arial" w:cs="Arial"/>
          <w:sz w:val="20"/>
          <w:szCs w:val="20"/>
          <w:lang w:val="en-GB" w:eastAsia="zh-TW" w:bidi="th-TH"/>
        </w:rPr>
      </w:pPr>
      <w:r w:rsidRPr="00C12D34">
        <w:rPr>
          <w:rFonts w:ascii="Arial" w:hAnsi="Arial" w:cs="Arial"/>
          <w:sz w:val="20"/>
          <w:szCs w:val="20"/>
        </w:rPr>
        <w:t xml:space="preserve">Using advanced polymer material technology, Trelleborg’s offshore operation provides high integrity solutions for the harshest and most demanding offshore environments. As part of the Trelleborg Offshore &amp; </w:t>
      </w:r>
      <w:r w:rsidRPr="00C12D34">
        <w:rPr>
          <w:rFonts w:ascii="Arial" w:hAnsi="Arial" w:cs="Arial"/>
          <w:sz w:val="20"/>
          <w:szCs w:val="20"/>
        </w:rPr>
        <w:lastRenderedPageBreak/>
        <w:t>Construction</w:t>
      </w:r>
      <w:r w:rsidRPr="00C12D34" w:rsidDel="00EF649C">
        <w:rPr>
          <w:rFonts w:ascii="Arial" w:hAnsi="Arial" w:cs="Arial"/>
          <w:sz w:val="20"/>
          <w:szCs w:val="20"/>
        </w:rPr>
        <w:t xml:space="preserve"> </w:t>
      </w:r>
      <w:r w:rsidRPr="00C12D34">
        <w:rPr>
          <w:rFonts w:ascii="Arial" w:hAnsi="Arial" w:cs="Arial"/>
          <w:sz w:val="20"/>
          <w:szCs w:val="20"/>
        </w:rPr>
        <w:t xml:space="preserve">Business Area of Trelleborg Group, </w:t>
      </w:r>
      <w:r w:rsidRPr="00C12D34">
        <w:rPr>
          <w:rFonts w:ascii="Arial" w:hAnsi="Arial" w:cs="Arial"/>
          <w:b/>
          <w:sz w:val="20"/>
          <w:szCs w:val="20"/>
        </w:rPr>
        <w:t>Trelleborg’s offshore operation</w:t>
      </w:r>
      <w:r w:rsidRPr="00C12D34">
        <w:rPr>
          <w:rFonts w:ascii="Arial" w:hAnsi="Arial" w:cs="Arial"/>
          <w:sz w:val="20"/>
          <w:szCs w:val="20"/>
        </w:rPr>
        <w:t xml:space="preserve"> specializes in the development and production of polymer and syntactic foam based seismic, marine, buoyancy, cable protection and thermal insulation products, as well as rubber-based passive and active fire protection solutions for the offshore industry. </w:t>
      </w:r>
      <w:r w:rsidRPr="00C12D34">
        <w:rPr>
          <w:rFonts w:ascii="Arial" w:hAnsi="Arial" w:cs="Arial"/>
          <w:iCs/>
          <w:sz w:val="20"/>
          <w:szCs w:val="20"/>
        </w:rPr>
        <w:t>Within its portfolio are some long established and respected brands including, CRP, OCP, Viking and Emerson &amp; Cuming</w:t>
      </w:r>
      <w:r w:rsidRPr="00C12D34">
        <w:rPr>
          <w:rFonts w:ascii="Arial" w:hAnsi="Arial" w:cs="Arial"/>
          <w:sz w:val="20"/>
          <w:szCs w:val="20"/>
        </w:rPr>
        <w:t xml:space="preserve">. Trelleborg’s offshore operation has been providing innovative solutions to the industry for over 30 years. </w:t>
      </w:r>
      <w:hyperlink r:id="rId13" w:history="1">
        <w:r w:rsidRPr="00C12D34">
          <w:rPr>
            <w:rFonts w:ascii="Arial" w:eastAsia="SimHei" w:hAnsi="Arial" w:cs="Arial"/>
            <w:sz w:val="20"/>
            <w:szCs w:val="20"/>
            <w:u w:val="single"/>
          </w:rPr>
          <w:t>www.trelleborg.com/offshore</w:t>
        </w:r>
      </w:hyperlink>
    </w:p>
    <w:p w14:paraId="292D22A4" w14:textId="718F724F" w:rsidR="00824711" w:rsidRPr="00644075" w:rsidRDefault="00824711" w:rsidP="00047504">
      <w:pPr>
        <w:spacing w:after="120" w:line="240" w:lineRule="auto"/>
        <w:ind w:left="-142"/>
        <w:jc w:val="both"/>
        <w:rPr>
          <w:rFonts w:ascii="Arial" w:hAnsi="Arial" w:cs="Arial"/>
        </w:rPr>
      </w:pPr>
      <w:r w:rsidRPr="00C12D34">
        <w:rPr>
          <w:rFonts w:ascii="Arial" w:hAnsi="Arial" w:cs="Arial"/>
          <w:b/>
          <w:bCs/>
          <w:iCs/>
          <w:sz w:val="20"/>
          <w:szCs w:val="20"/>
        </w:rPr>
        <w:t xml:space="preserve">Trelleborg </w:t>
      </w:r>
      <w:r w:rsidRPr="00C12D34">
        <w:rPr>
          <w:rFonts w:ascii="Arial" w:hAnsi="Arial" w:cs="Arial"/>
          <w:bCs/>
          <w:iCs/>
          <w:sz w:val="20"/>
          <w:szCs w:val="20"/>
        </w:rPr>
        <w:t xml:space="preserve">is a world leader in engineered polymer solutions that seal, damp and protect critical applications in demanding environments. Its innovative solutions accelerate performance for customers in a sustainable way. The Trelleborg Group has annual sales of </w:t>
      </w:r>
      <w:r w:rsidR="00F4756E" w:rsidRPr="004B4C02">
        <w:rPr>
          <w:rFonts w:ascii="Arial" w:hAnsi="Arial" w:cs="Arial"/>
          <w:bCs/>
          <w:iCs/>
          <w:sz w:val="18"/>
        </w:rPr>
        <w:t>SEK 31 billion (EUR 3.23 billion, USD 3.60 billion) and operations in about 50</w:t>
      </w:r>
      <w:r w:rsidRPr="00C12D34">
        <w:rPr>
          <w:rFonts w:ascii="Arial" w:hAnsi="Arial" w:cs="Arial"/>
          <w:bCs/>
          <w:iCs/>
          <w:sz w:val="20"/>
          <w:szCs w:val="20"/>
        </w:rPr>
        <w:t xml:space="preserve">countries. The Group comprises five business areas: Trelleborg Coated Systems, Trelleborg Industrial Solutions, Trelleborg Offshore &amp; Construction, Trelleborg Sealing Solutions and Trelleborg Wheel Systems, and the operations of </w:t>
      </w:r>
      <w:proofErr w:type="spellStart"/>
      <w:r w:rsidRPr="00C12D34">
        <w:rPr>
          <w:rFonts w:ascii="Arial" w:hAnsi="Arial" w:cs="Arial"/>
          <w:bCs/>
          <w:iCs/>
          <w:sz w:val="20"/>
          <w:szCs w:val="20"/>
        </w:rPr>
        <w:t>Rubena</w:t>
      </w:r>
      <w:proofErr w:type="spellEnd"/>
      <w:r w:rsidRPr="00C12D34">
        <w:rPr>
          <w:rFonts w:ascii="Arial" w:hAnsi="Arial" w:cs="Arial"/>
          <w:bCs/>
          <w:iCs/>
          <w:sz w:val="20"/>
          <w:szCs w:val="20"/>
        </w:rPr>
        <w:t xml:space="preserve"> and </w:t>
      </w:r>
      <w:r w:rsidRPr="0092506C">
        <w:rPr>
          <w:rFonts w:ascii="Arial" w:hAnsi="Arial" w:cs="Arial"/>
          <w:bCs/>
          <w:iCs/>
          <w:noProof/>
          <w:sz w:val="20"/>
          <w:szCs w:val="20"/>
        </w:rPr>
        <w:t>Savatech</w:t>
      </w:r>
      <w:r w:rsidRPr="00C12D34">
        <w:rPr>
          <w:rFonts w:ascii="Arial" w:hAnsi="Arial" w:cs="Arial"/>
          <w:bCs/>
          <w:iCs/>
          <w:sz w:val="20"/>
          <w:szCs w:val="20"/>
        </w:rPr>
        <w:t xml:space="preserve">. In addition, Trelleborg owns 50 percent of </w:t>
      </w:r>
      <w:proofErr w:type="spellStart"/>
      <w:r w:rsidRPr="00C12D34">
        <w:rPr>
          <w:rFonts w:ascii="Arial" w:hAnsi="Arial" w:cs="Arial"/>
          <w:bCs/>
          <w:iCs/>
          <w:sz w:val="20"/>
          <w:szCs w:val="20"/>
        </w:rPr>
        <w:t>Vibracoustic</w:t>
      </w:r>
      <w:proofErr w:type="spellEnd"/>
      <w:r w:rsidRPr="00C12D34">
        <w:rPr>
          <w:rFonts w:ascii="Arial" w:hAnsi="Arial" w:cs="Arial"/>
          <w:bCs/>
          <w:iCs/>
          <w:sz w:val="20"/>
          <w:szCs w:val="20"/>
        </w:rPr>
        <w:t xml:space="preserve">, the global market </w:t>
      </w:r>
      <w:r w:rsidRPr="0092506C">
        <w:rPr>
          <w:rFonts w:ascii="Arial" w:hAnsi="Arial" w:cs="Arial"/>
          <w:bCs/>
          <w:iCs/>
          <w:noProof/>
          <w:sz w:val="20"/>
          <w:szCs w:val="20"/>
        </w:rPr>
        <w:t>leader within</w:t>
      </w:r>
      <w:r w:rsidRPr="00C12D34">
        <w:rPr>
          <w:rFonts w:ascii="Arial" w:hAnsi="Arial" w:cs="Arial"/>
          <w:bCs/>
          <w:iCs/>
          <w:sz w:val="20"/>
          <w:szCs w:val="20"/>
        </w:rPr>
        <w:t xml:space="preserve"> </w:t>
      </w:r>
      <w:proofErr w:type="spellStart"/>
      <w:r w:rsidRPr="00C12D34">
        <w:rPr>
          <w:rFonts w:ascii="Arial" w:hAnsi="Arial" w:cs="Arial"/>
          <w:bCs/>
          <w:iCs/>
          <w:sz w:val="20"/>
          <w:szCs w:val="20"/>
        </w:rPr>
        <w:t>antivibration</w:t>
      </w:r>
      <w:proofErr w:type="spellEnd"/>
      <w:r w:rsidRPr="00C12D34">
        <w:rPr>
          <w:rFonts w:ascii="Arial" w:hAnsi="Arial" w:cs="Arial"/>
          <w:bCs/>
          <w:iCs/>
          <w:sz w:val="20"/>
          <w:szCs w:val="20"/>
        </w:rPr>
        <w:t xml:space="preserve"> solutions for light and heavy vehicles. The Trelleborg share has been listed on the Stock Exchange since 1964 and is listed on Nasdaq Stockholm, Large Cap. </w:t>
      </w:r>
      <w:hyperlink r:id="rId14" w:history="1">
        <w:r w:rsidRPr="00C12D34">
          <w:rPr>
            <w:rStyle w:val="Hyperlink"/>
            <w:rFonts w:ascii="Arial" w:hAnsi="Arial" w:cs="Arial"/>
            <w:color w:val="auto"/>
            <w:sz w:val="20"/>
            <w:szCs w:val="20"/>
          </w:rPr>
          <w:t>www.trelleborg.com</w:t>
        </w:r>
      </w:hyperlink>
      <w:r w:rsidRPr="00C12D34">
        <w:rPr>
          <w:rFonts w:ascii="Arial" w:hAnsi="Arial" w:cs="Arial"/>
          <w:iCs/>
          <w:sz w:val="20"/>
          <w:szCs w:val="20"/>
        </w:rPr>
        <w:t>.</w:t>
      </w:r>
    </w:p>
    <w:sectPr w:rsidR="00824711" w:rsidRPr="00644075">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C95C1" w14:textId="77777777" w:rsidR="009149F7" w:rsidRDefault="009149F7" w:rsidP="00062857">
      <w:pPr>
        <w:spacing w:after="0" w:line="240" w:lineRule="auto"/>
      </w:pPr>
      <w:r>
        <w:separator/>
      </w:r>
    </w:p>
  </w:endnote>
  <w:endnote w:type="continuationSeparator" w:id="0">
    <w:p w14:paraId="4D9E8DCC" w14:textId="77777777" w:rsidR="009149F7" w:rsidRDefault="009149F7" w:rsidP="00062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imHei">
    <w:altName w:val="黑体"/>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1B2E6" w14:textId="77777777" w:rsidR="009149F7" w:rsidRDefault="009149F7" w:rsidP="00062857">
      <w:pPr>
        <w:spacing w:after="0" w:line="240" w:lineRule="auto"/>
      </w:pPr>
      <w:r>
        <w:separator/>
      </w:r>
    </w:p>
  </w:footnote>
  <w:footnote w:type="continuationSeparator" w:id="0">
    <w:p w14:paraId="2BD247A2" w14:textId="77777777" w:rsidR="009149F7" w:rsidRDefault="009149F7" w:rsidP="00062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03C0C" w14:textId="77777777" w:rsidR="00D942EE" w:rsidRDefault="00D942EE" w:rsidP="00D942EE">
    <w:pPr>
      <w:pStyle w:val="Header"/>
      <w:jc w:val="center"/>
    </w:pPr>
    <w:r>
      <w:rPr>
        <w:noProof/>
      </w:rPr>
      <w:drawing>
        <wp:inline distT="0" distB="0" distL="0" distR="0" wp14:anchorId="519F0820" wp14:editId="5D0799AD">
          <wp:extent cx="14478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B 40_RGB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800" cy="609600"/>
                  </a:xfrm>
                  <a:prstGeom prst="rect">
                    <a:avLst/>
                  </a:prstGeom>
                </pic:spPr>
              </pic:pic>
            </a:graphicData>
          </a:graphic>
        </wp:inline>
      </w:drawing>
    </w:r>
  </w:p>
  <w:p w14:paraId="3A3C75B9" w14:textId="77777777" w:rsidR="00D942EE" w:rsidRDefault="00D942EE" w:rsidP="00D942E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YyMTEwMzY3NDIytDRT0lEKTi0uzszPAykwqwUAXoXWaSwAAAA="/>
  </w:docVars>
  <w:rsids>
    <w:rsidRoot w:val="0056288C"/>
    <w:rsid w:val="00003877"/>
    <w:rsid w:val="00010B0E"/>
    <w:rsid w:val="000164FE"/>
    <w:rsid w:val="00017EC2"/>
    <w:rsid w:val="00047504"/>
    <w:rsid w:val="00062857"/>
    <w:rsid w:val="00067CBE"/>
    <w:rsid w:val="00073F85"/>
    <w:rsid w:val="00074FDC"/>
    <w:rsid w:val="0008059F"/>
    <w:rsid w:val="00095DCC"/>
    <w:rsid w:val="000D7D6A"/>
    <w:rsid w:val="000E2EEA"/>
    <w:rsid w:val="001177E8"/>
    <w:rsid w:val="00126EB7"/>
    <w:rsid w:val="001338F4"/>
    <w:rsid w:val="001455F3"/>
    <w:rsid w:val="001650E2"/>
    <w:rsid w:val="00186414"/>
    <w:rsid w:val="001873F1"/>
    <w:rsid w:val="001A7B0B"/>
    <w:rsid w:val="001B3AD0"/>
    <w:rsid w:val="001E2678"/>
    <w:rsid w:val="001F30D3"/>
    <w:rsid w:val="001F599D"/>
    <w:rsid w:val="00211ACE"/>
    <w:rsid w:val="00213A4D"/>
    <w:rsid w:val="00216D6B"/>
    <w:rsid w:val="00262BA7"/>
    <w:rsid w:val="00290317"/>
    <w:rsid w:val="002978A3"/>
    <w:rsid w:val="002A0BA4"/>
    <w:rsid w:val="002B639C"/>
    <w:rsid w:val="002F1F53"/>
    <w:rsid w:val="002F620F"/>
    <w:rsid w:val="00306BC9"/>
    <w:rsid w:val="003228C8"/>
    <w:rsid w:val="00332A75"/>
    <w:rsid w:val="00397FC8"/>
    <w:rsid w:val="003A1CBE"/>
    <w:rsid w:val="003B24C0"/>
    <w:rsid w:val="003E07F2"/>
    <w:rsid w:val="003E5963"/>
    <w:rsid w:val="00420D03"/>
    <w:rsid w:val="00425751"/>
    <w:rsid w:val="0042787A"/>
    <w:rsid w:val="00442D3A"/>
    <w:rsid w:val="00456595"/>
    <w:rsid w:val="00483FD3"/>
    <w:rsid w:val="004853FB"/>
    <w:rsid w:val="00491C9B"/>
    <w:rsid w:val="004942C3"/>
    <w:rsid w:val="004A1972"/>
    <w:rsid w:val="004A4793"/>
    <w:rsid w:val="004C1455"/>
    <w:rsid w:val="005450C0"/>
    <w:rsid w:val="00553B4B"/>
    <w:rsid w:val="0056288C"/>
    <w:rsid w:val="005738B2"/>
    <w:rsid w:val="005849E4"/>
    <w:rsid w:val="005F7959"/>
    <w:rsid w:val="0061733A"/>
    <w:rsid w:val="006365B0"/>
    <w:rsid w:val="00644075"/>
    <w:rsid w:val="0065032E"/>
    <w:rsid w:val="00653299"/>
    <w:rsid w:val="00654756"/>
    <w:rsid w:val="0066326F"/>
    <w:rsid w:val="00665B11"/>
    <w:rsid w:val="006B5655"/>
    <w:rsid w:val="006E2F16"/>
    <w:rsid w:val="006E3415"/>
    <w:rsid w:val="006F64A6"/>
    <w:rsid w:val="00703EC6"/>
    <w:rsid w:val="007444CD"/>
    <w:rsid w:val="00753C85"/>
    <w:rsid w:val="0077589B"/>
    <w:rsid w:val="00775D6C"/>
    <w:rsid w:val="00777913"/>
    <w:rsid w:val="00783751"/>
    <w:rsid w:val="007B2884"/>
    <w:rsid w:val="007D65B3"/>
    <w:rsid w:val="007E67DA"/>
    <w:rsid w:val="007F4C1D"/>
    <w:rsid w:val="00810B50"/>
    <w:rsid w:val="00824711"/>
    <w:rsid w:val="00827D5D"/>
    <w:rsid w:val="00830E8E"/>
    <w:rsid w:val="00840033"/>
    <w:rsid w:val="0088002F"/>
    <w:rsid w:val="00883950"/>
    <w:rsid w:val="00894E35"/>
    <w:rsid w:val="008A3E9B"/>
    <w:rsid w:val="008B3DEE"/>
    <w:rsid w:val="008C073F"/>
    <w:rsid w:val="008C2788"/>
    <w:rsid w:val="008F3768"/>
    <w:rsid w:val="008F4C63"/>
    <w:rsid w:val="009069E7"/>
    <w:rsid w:val="009149F7"/>
    <w:rsid w:val="0092506C"/>
    <w:rsid w:val="0093222F"/>
    <w:rsid w:val="00937329"/>
    <w:rsid w:val="009513E1"/>
    <w:rsid w:val="00962BBB"/>
    <w:rsid w:val="00967EBC"/>
    <w:rsid w:val="00972493"/>
    <w:rsid w:val="009735FF"/>
    <w:rsid w:val="00975793"/>
    <w:rsid w:val="009831DB"/>
    <w:rsid w:val="009A380F"/>
    <w:rsid w:val="009A502F"/>
    <w:rsid w:val="009B4908"/>
    <w:rsid w:val="009C5A97"/>
    <w:rsid w:val="009D637C"/>
    <w:rsid w:val="009F302E"/>
    <w:rsid w:val="00A16ACC"/>
    <w:rsid w:val="00A2334D"/>
    <w:rsid w:val="00A23B73"/>
    <w:rsid w:val="00A2780D"/>
    <w:rsid w:val="00A34477"/>
    <w:rsid w:val="00A362AA"/>
    <w:rsid w:val="00A45ABA"/>
    <w:rsid w:val="00A464D3"/>
    <w:rsid w:val="00A61CD1"/>
    <w:rsid w:val="00A85BB2"/>
    <w:rsid w:val="00AA68B0"/>
    <w:rsid w:val="00AA7559"/>
    <w:rsid w:val="00AC13CE"/>
    <w:rsid w:val="00AC5846"/>
    <w:rsid w:val="00AE23C9"/>
    <w:rsid w:val="00AF100C"/>
    <w:rsid w:val="00B069AB"/>
    <w:rsid w:val="00B0709D"/>
    <w:rsid w:val="00B106F3"/>
    <w:rsid w:val="00B13D44"/>
    <w:rsid w:val="00B21705"/>
    <w:rsid w:val="00B221DB"/>
    <w:rsid w:val="00B26390"/>
    <w:rsid w:val="00B30674"/>
    <w:rsid w:val="00B40B39"/>
    <w:rsid w:val="00B411C7"/>
    <w:rsid w:val="00B63F96"/>
    <w:rsid w:val="00B8176A"/>
    <w:rsid w:val="00B87743"/>
    <w:rsid w:val="00B90523"/>
    <w:rsid w:val="00BA5C00"/>
    <w:rsid w:val="00BB37CF"/>
    <w:rsid w:val="00BE64ED"/>
    <w:rsid w:val="00BE70F7"/>
    <w:rsid w:val="00BF3DE7"/>
    <w:rsid w:val="00C12D34"/>
    <w:rsid w:val="00C32438"/>
    <w:rsid w:val="00C42533"/>
    <w:rsid w:val="00C45770"/>
    <w:rsid w:val="00C52A8C"/>
    <w:rsid w:val="00C571F1"/>
    <w:rsid w:val="00C610ED"/>
    <w:rsid w:val="00C62C18"/>
    <w:rsid w:val="00C71F26"/>
    <w:rsid w:val="00C82D8E"/>
    <w:rsid w:val="00C83521"/>
    <w:rsid w:val="00C860EB"/>
    <w:rsid w:val="00C87261"/>
    <w:rsid w:val="00CA0AF8"/>
    <w:rsid w:val="00CA133A"/>
    <w:rsid w:val="00CA7BC7"/>
    <w:rsid w:val="00CA7F04"/>
    <w:rsid w:val="00CC666B"/>
    <w:rsid w:val="00CD32D4"/>
    <w:rsid w:val="00CE42A6"/>
    <w:rsid w:val="00CE75EE"/>
    <w:rsid w:val="00CE7883"/>
    <w:rsid w:val="00D00418"/>
    <w:rsid w:val="00D00BAB"/>
    <w:rsid w:val="00D026F6"/>
    <w:rsid w:val="00D20F73"/>
    <w:rsid w:val="00D41ABE"/>
    <w:rsid w:val="00D51A5B"/>
    <w:rsid w:val="00D82BCF"/>
    <w:rsid w:val="00D942EE"/>
    <w:rsid w:val="00D970D3"/>
    <w:rsid w:val="00DA25ED"/>
    <w:rsid w:val="00DA67ED"/>
    <w:rsid w:val="00DB4768"/>
    <w:rsid w:val="00DB5243"/>
    <w:rsid w:val="00DD708E"/>
    <w:rsid w:val="00DE08F4"/>
    <w:rsid w:val="00DF152A"/>
    <w:rsid w:val="00E10E87"/>
    <w:rsid w:val="00E14015"/>
    <w:rsid w:val="00E52891"/>
    <w:rsid w:val="00E55E2D"/>
    <w:rsid w:val="00EC52CA"/>
    <w:rsid w:val="00EC5648"/>
    <w:rsid w:val="00ED2EE0"/>
    <w:rsid w:val="00ED4B5E"/>
    <w:rsid w:val="00ED5A31"/>
    <w:rsid w:val="00ED782F"/>
    <w:rsid w:val="00F1705A"/>
    <w:rsid w:val="00F37454"/>
    <w:rsid w:val="00F4756E"/>
    <w:rsid w:val="00F53CAE"/>
    <w:rsid w:val="00F6492B"/>
    <w:rsid w:val="00F65C34"/>
    <w:rsid w:val="00F87E19"/>
    <w:rsid w:val="00FA0EDB"/>
    <w:rsid w:val="00FC1BB4"/>
    <w:rsid w:val="00FC7CA1"/>
    <w:rsid w:val="00FD0AE9"/>
    <w:rsid w:val="00FD3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1E67D"/>
  <w15:chartTrackingRefBased/>
  <w15:docId w15:val="{2AC2585D-06FA-4E4E-B6FA-509601C7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cbnttl">
    <w:name w:val="ccbnttl"/>
    <w:basedOn w:val="DefaultParagraphFont"/>
    <w:rsid w:val="0056288C"/>
  </w:style>
  <w:style w:type="paragraph" w:styleId="NormalWeb">
    <w:name w:val="Normal (Web)"/>
    <w:basedOn w:val="Normal"/>
    <w:uiPriority w:val="99"/>
    <w:semiHidden/>
    <w:unhideWhenUsed/>
    <w:rsid w:val="00562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288C"/>
  </w:style>
  <w:style w:type="character" w:styleId="Hyperlink">
    <w:name w:val="Hyperlink"/>
    <w:basedOn w:val="DefaultParagraphFont"/>
    <w:unhideWhenUsed/>
    <w:rsid w:val="0056288C"/>
    <w:rPr>
      <w:color w:val="0000FF"/>
      <w:u w:val="single"/>
    </w:rPr>
  </w:style>
  <w:style w:type="paragraph" w:styleId="BalloonText">
    <w:name w:val="Balloon Text"/>
    <w:basedOn w:val="Normal"/>
    <w:link w:val="BalloonTextChar"/>
    <w:uiPriority w:val="99"/>
    <w:semiHidden/>
    <w:unhideWhenUsed/>
    <w:rsid w:val="00562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88C"/>
    <w:rPr>
      <w:rFonts w:ascii="Segoe UI" w:hAnsi="Segoe UI" w:cs="Segoe UI"/>
      <w:sz w:val="18"/>
      <w:szCs w:val="18"/>
    </w:rPr>
  </w:style>
  <w:style w:type="paragraph" w:styleId="Revision">
    <w:name w:val="Revision"/>
    <w:hidden/>
    <w:uiPriority w:val="99"/>
    <w:semiHidden/>
    <w:rsid w:val="0061733A"/>
    <w:pPr>
      <w:spacing w:after="0" w:line="240" w:lineRule="auto"/>
    </w:pPr>
  </w:style>
  <w:style w:type="paragraph" w:styleId="Header">
    <w:name w:val="header"/>
    <w:basedOn w:val="Normal"/>
    <w:link w:val="HeaderChar"/>
    <w:uiPriority w:val="99"/>
    <w:unhideWhenUsed/>
    <w:rsid w:val="00062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857"/>
  </w:style>
  <w:style w:type="paragraph" w:styleId="Footer">
    <w:name w:val="footer"/>
    <w:basedOn w:val="Normal"/>
    <w:link w:val="FooterChar"/>
    <w:uiPriority w:val="99"/>
    <w:unhideWhenUsed/>
    <w:rsid w:val="00062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857"/>
  </w:style>
  <w:style w:type="character" w:styleId="CommentReference">
    <w:name w:val="annotation reference"/>
    <w:basedOn w:val="DefaultParagraphFont"/>
    <w:uiPriority w:val="99"/>
    <w:semiHidden/>
    <w:unhideWhenUsed/>
    <w:rsid w:val="0008059F"/>
    <w:rPr>
      <w:sz w:val="16"/>
      <w:szCs w:val="16"/>
    </w:rPr>
  </w:style>
  <w:style w:type="paragraph" w:styleId="CommentText">
    <w:name w:val="annotation text"/>
    <w:basedOn w:val="Normal"/>
    <w:link w:val="CommentTextChar"/>
    <w:uiPriority w:val="99"/>
    <w:semiHidden/>
    <w:unhideWhenUsed/>
    <w:rsid w:val="0008059F"/>
    <w:pPr>
      <w:spacing w:line="240" w:lineRule="auto"/>
    </w:pPr>
    <w:rPr>
      <w:sz w:val="20"/>
      <w:szCs w:val="20"/>
    </w:rPr>
  </w:style>
  <w:style w:type="character" w:customStyle="1" w:styleId="CommentTextChar">
    <w:name w:val="Comment Text Char"/>
    <w:basedOn w:val="DefaultParagraphFont"/>
    <w:link w:val="CommentText"/>
    <w:uiPriority w:val="99"/>
    <w:semiHidden/>
    <w:rsid w:val="0008059F"/>
    <w:rPr>
      <w:sz w:val="20"/>
      <w:szCs w:val="20"/>
    </w:rPr>
  </w:style>
  <w:style w:type="paragraph" w:styleId="CommentSubject">
    <w:name w:val="annotation subject"/>
    <w:basedOn w:val="CommentText"/>
    <w:next w:val="CommentText"/>
    <w:link w:val="CommentSubjectChar"/>
    <w:uiPriority w:val="99"/>
    <w:semiHidden/>
    <w:unhideWhenUsed/>
    <w:rsid w:val="0008059F"/>
    <w:rPr>
      <w:b/>
      <w:bCs/>
    </w:rPr>
  </w:style>
  <w:style w:type="character" w:customStyle="1" w:styleId="CommentSubjectChar">
    <w:name w:val="Comment Subject Char"/>
    <w:basedOn w:val="CommentTextChar"/>
    <w:link w:val="CommentSubject"/>
    <w:uiPriority w:val="99"/>
    <w:semiHidden/>
    <w:rsid w:val="0008059F"/>
    <w:rPr>
      <w:b/>
      <w:bCs/>
      <w:sz w:val="20"/>
      <w:szCs w:val="20"/>
    </w:rPr>
  </w:style>
  <w:style w:type="character" w:styleId="FollowedHyperlink">
    <w:name w:val="FollowedHyperlink"/>
    <w:basedOn w:val="DefaultParagraphFont"/>
    <w:uiPriority w:val="99"/>
    <w:semiHidden/>
    <w:unhideWhenUsed/>
    <w:rsid w:val="00290317"/>
    <w:rPr>
      <w:color w:val="954F72" w:themeColor="followedHyperlink"/>
      <w:u w:val="single"/>
    </w:rPr>
  </w:style>
  <w:style w:type="character" w:styleId="PlaceholderText">
    <w:name w:val="Placeholder Text"/>
    <w:basedOn w:val="DefaultParagraphFont"/>
    <w:uiPriority w:val="99"/>
    <w:semiHidden/>
    <w:rsid w:val="000475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437554">
      <w:bodyDiv w:val="1"/>
      <w:marLeft w:val="0"/>
      <w:marRight w:val="0"/>
      <w:marTop w:val="0"/>
      <w:marBottom w:val="0"/>
      <w:divBdr>
        <w:top w:val="none" w:sz="0" w:space="0" w:color="auto"/>
        <w:left w:val="none" w:sz="0" w:space="0" w:color="auto"/>
        <w:bottom w:val="none" w:sz="0" w:space="0" w:color="auto"/>
        <w:right w:val="none" w:sz="0" w:space="0" w:color="auto"/>
      </w:divBdr>
      <w:divsChild>
        <w:div w:id="491681654">
          <w:marLeft w:val="0"/>
          <w:marRight w:val="0"/>
          <w:marTop w:val="0"/>
          <w:marBottom w:val="0"/>
          <w:divBdr>
            <w:top w:val="none" w:sz="0" w:space="0" w:color="auto"/>
            <w:left w:val="none" w:sz="0" w:space="0" w:color="auto"/>
            <w:bottom w:val="none" w:sz="0" w:space="0" w:color="auto"/>
            <w:right w:val="none" w:sz="0" w:space="0" w:color="auto"/>
          </w:divBdr>
        </w:div>
      </w:divsChild>
    </w:div>
    <w:div w:id="967322986">
      <w:bodyDiv w:val="1"/>
      <w:marLeft w:val="0"/>
      <w:marRight w:val="0"/>
      <w:marTop w:val="0"/>
      <w:marBottom w:val="0"/>
      <w:divBdr>
        <w:top w:val="none" w:sz="0" w:space="0" w:color="auto"/>
        <w:left w:val="none" w:sz="0" w:space="0" w:color="auto"/>
        <w:bottom w:val="none" w:sz="0" w:space="0" w:color="auto"/>
        <w:right w:val="none" w:sz="0" w:space="0" w:color="auto"/>
      </w:divBdr>
    </w:div>
    <w:div w:id="1539009130">
      <w:bodyDiv w:val="1"/>
      <w:marLeft w:val="0"/>
      <w:marRight w:val="0"/>
      <w:marTop w:val="0"/>
      <w:marBottom w:val="0"/>
      <w:divBdr>
        <w:top w:val="none" w:sz="0" w:space="0" w:color="auto"/>
        <w:left w:val="none" w:sz="0" w:space="0" w:color="auto"/>
        <w:bottom w:val="none" w:sz="0" w:space="0" w:color="auto"/>
        <w:right w:val="none" w:sz="0" w:space="0" w:color="auto"/>
      </w:divBdr>
    </w:div>
    <w:div w:id="155053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elleborg.com/offshore"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linkedin.com/company/trelleborg-offshor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OffshoreInsigh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ruth.clay@trelleborg.com" TargetMode="External"/><Relationship Id="rId4" Type="http://schemas.openxmlformats.org/officeDocument/2006/relationships/styles" Target="styles.xml"/><Relationship Id="rId9" Type="http://schemas.openxmlformats.org/officeDocument/2006/relationships/hyperlink" Target="http://safemarinetransfer.com" TargetMode="External"/><Relationship Id="rId14" Type="http://schemas.openxmlformats.org/officeDocument/2006/relationships/hyperlink" Target="http://www.trellebor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D9AC3F88807B4E8AA99483D3A3C12C" ma:contentTypeVersion="0" ma:contentTypeDescription="Create a new document." ma:contentTypeScope="" ma:versionID="a88611c327a7adbd8a1eb56464691b5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C641B7-C074-4C88-ACA6-C83AA9081A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FF6EA-726B-4F0B-BCD6-4CBFC1298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5373816-A916-4D88-9B1D-DF5AF7D8C5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Gaskill</dc:creator>
  <cp:keywords/>
  <dc:description/>
  <cp:lastModifiedBy>Ruth Clay</cp:lastModifiedBy>
  <cp:revision>6</cp:revision>
  <cp:lastPrinted>2017-11-10T20:25:00Z</cp:lastPrinted>
  <dcterms:created xsi:type="dcterms:W3CDTF">2017-11-09T14:54:00Z</dcterms:created>
  <dcterms:modified xsi:type="dcterms:W3CDTF">2017-11-10T20:35:00Z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0x010100BFD9AC3F88807B4E8AA99483D3A3C12C</vt:lpwstr>
  </property>
  <property fmtid="{D5CDD505-2E9C-101B-9397-08002B2CF9AE}" pid="3" name="Addo_DocID">
    <vt:lpwstr>47d532ae-da4b-4a10-b830-f72dedf04616</vt:lpwstr>
  </property>
</Properties>
</file>