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00" w:rsidRPr="00675D46" w:rsidRDefault="001A4000" w:rsidP="00BE568C">
      <w:pPr>
        <w:pStyle w:val="NoSpacing"/>
        <w:rPr>
          <w:lang w:val="en-US"/>
        </w:rPr>
      </w:pPr>
    </w:p>
    <w:p w:rsidR="00675D46" w:rsidRDefault="00675D46" w:rsidP="00675D46">
      <w:pPr>
        <w:spacing w:after="0" w:line="360" w:lineRule="auto"/>
        <w:jc w:val="center"/>
        <w:rPr>
          <w:rFonts w:ascii="Arial" w:eastAsia="Times New Roman" w:hAnsi="Arial" w:cs="Arial"/>
          <w:b/>
        </w:rPr>
      </w:pPr>
      <w:r w:rsidRPr="00675D46">
        <w:rPr>
          <w:rFonts w:ascii="Arial" w:eastAsia="Times New Roman" w:hAnsi="Arial" w:cs="Arial"/>
          <w:b/>
        </w:rPr>
        <w:t>TRELLEBORG'S NEW RUBBER LIFTER BARS ENSURE A LONGER LIFE AND REDUCED NOISE POLLUTION</w:t>
      </w:r>
    </w:p>
    <w:p w:rsidR="00675D46" w:rsidRPr="00675D46" w:rsidRDefault="00675D46" w:rsidP="00675D46">
      <w:pPr>
        <w:spacing w:after="0" w:line="360" w:lineRule="auto"/>
        <w:jc w:val="center"/>
        <w:rPr>
          <w:rFonts w:ascii="Arial" w:eastAsia="Times New Roman" w:hAnsi="Arial" w:cs="Arial"/>
          <w:b/>
        </w:rPr>
      </w:pPr>
    </w:p>
    <w:p w:rsidR="00675D46" w:rsidRDefault="00675D46" w:rsidP="00675D46">
      <w:pPr>
        <w:spacing w:after="0" w:line="360" w:lineRule="auto"/>
        <w:jc w:val="both"/>
        <w:rPr>
          <w:rFonts w:ascii="Arial" w:eastAsia="Times New Roman" w:hAnsi="Arial" w:cs="Arial"/>
        </w:rPr>
      </w:pPr>
      <w:proofErr w:type="spellStart"/>
      <w:r w:rsidRPr="00675D46">
        <w:rPr>
          <w:rFonts w:ascii="Arial" w:eastAsia="Times New Roman" w:hAnsi="Arial" w:cs="Arial"/>
        </w:rPr>
        <w:t>Trelleborg’s</w:t>
      </w:r>
      <w:proofErr w:type="spellEnd"/>
      <w:r w:rsidRPr="00675D46">
        <w:rPr>
          <w:rFonts w:ascii="Arial" w:eastAsia="Times New Roman" w:hAnsi="Arial" w:cs="Arial"/>
        </w:rPr>
        <w:t xml:space="preserve"> </w:t>
      </w:r>
      <w:r>
        <w:rPr>
          <w:rFonts w:ascii="Arial" w:eastAsia="Times New Roman" w:hAnsi="Arial" w:cs="Arial"/>
        </w:rPr>
        <w:t>engineered products operation</w:t>
      </w:r>
      <w:r w:rsidRPr="00675D46">
        <w:rPr>
          <w:rFonts w:ascii="Arial" w:eastAsia="Times New Roman" w:hAnsi="Arial" w:cs="Arial"/>
        </w:rPr>
        <w:t xml:space="preserve"> has developed and supplied a cost effective, long lasting rubber lifter bar solution for </w:t>
      </w:r>
      <w:r>
        <w:rPr>
          <w:rFonts w:ascii="Arial" w:eastAsia="Times New Roman" w:hAnsi="Arial" w:cs="Arial"/>
        </w:rPr>
        <w:t xml:space="preserve">a </w:t>
      </w:r>
      <w:r w:rsidRPr="00675D46">
        <w:rPr>
          <w:rFonts w:ascii="Arial" w:eastAsia="Times New Roman" w:hAnsi="Arial" w:cs="Arial"/>
        </w:rPr>
        <w:t xml:space="preserve">ball mill in </w:t>
      </w:r>
      <w:r>
        <w:rPr>
          <w:rFonts w:ascii="Arial" w:eastAsia="Times New Roman" w:hAnsi="Arial" w:cs="Arial"/>
        </w:rPr>
        <w:t>Australia. The success with the</w:t>
      </w:r>
      <w:r w:rsidRPr="00675D46">
        <w:rPr>
          <w:rFonts w:ascii="Arial" w:eastAsia="Times New Roman" w:hAnsi="Arial" w:cs="Arial"/>
        </w:rPr>
        <w:t xml:space="preserve"> special 1605AM rubber compound and design has given </w:t>
      </w:r>
      <w:proofErr w:type="spellStart"/>
      <w:r w:rsidRPr="00675D46">
        <w:rPr>
          <w:rFonts w:ascii="Arial" w:eastAsia="Times New Roman" w:hAnsi="Arial" w:cs="Arial"/>
        </w:rPr>
        <w:t>Trelleborg</w:t>
      </w:r>
      <w:proofErr w:type="spellEnd"/>
      <w:r w:rsidRPr="00675D46">
        <w:rPr>
          <w:rFonts w:ascii="Arial" w:eastAsia="Times New Roman" w:hAnsi="Arial" w:cs="Arial"/>
        </w:rPr>
        <w:t xml:space="preserve"> the opportunity to offer its clients an alternative to composite steel lifter bars. </w:t>
      </w:r>
    </w:p>
    <w:p w:rsidR="00675D46" w:rsidRPr="00675D46" w:rsidRDefault="00675D46" w:rsidP="00675D46">
      <w:pPr>
        <w:spacing w:after="0" w:line="360" w:lineRule="auto"/>
        <w:jc w:val="both"/>
        <w:rPr>
          <w:rFonts w:ascii="Arial" w:eastAsia="Times New Roman" w:hAnsi="Arial" w:cs="Arial"/>
        </w:rPr>
      </w:pPr>
    </w:p>
    <w:p w:rsidR="00675D46" w:rsidRPr="00675D46" w:rsidRDefault="00675D46" w:rsidP="00675D46">
      <w:pPr>
        <w:spacing w:after="0" w:line="360" w:lineRule="auto"/>
        <w:jc w:val="both"/>
        <w:rPr>
          <w:rFonts w:ascii="Arial" w:eastAsia="Times New Roman" w:hAnsi="Arial" w:cs="Arial"/>
        </w:rPr>
      </w:pPr>
      <w:r w:rsidRPr="00675D46">
        <w:rPr>
          <w:rFonts w:ascii="Arial" w:eastAsia="Times New Roman" w:hAnsi="Arial" w:cs="Arial"/>
        </w:rPr>
        <w:t xml:space="preserve">Composite lifters </w:t>
      </w:r>
      <w:r>
        <w:rPr>
          <w:rFonts w:ascii="Arial" w:eastAsia="Times New Roman" w:hAnsi="Arial" w:cs="Arial"/>
        </w:rPr>
        <w:t xml:space="preserve">can </w:t>
      </w:r>
      <w:r w:rsidRPr="00675D46">
        <w:rPr>
          <w:rFonts w:ascii="Arial" w:eastAsia="Times New Roman" w:hAnsi="Arial" w:cs="Arial"/>
        </w:rPr>
        <w:t>not only add to the load in the mill, but are also difficult to handle in confined spaces and take much longer to install, adding to downtime and installation costs.</w:t>
      </w:r>
      <w:r>
        <w:rPr>
          <w:rFonts w:ascii="Arial" w:eastAsia="Times New Roman" w:hAnsi="Arial" w:cs="Arial"/>
        </w:rPr>
        <w:t xml:space="preserve"> The lifter bars made with</w:t>
      </w:r>
      <w:r w:rsidRPr="00675D46">
        <w:rPr>
          <w:rFonts w:ascii="Arial" w:eastAsia="Times New Roman" w:hAnsi="Arial" w:cs="Arial"/>
        </w:rPr>
        <w:t xml:space="preserve"> new 1605AM rubber compound come with huge added benefits such as; easy handling, quick installation time</w:t>
      </w:r>
      <w:r>
        <w:rPr>
          <w:rFonts w:ascii="Arial" w:eastAsia="Times New Roman" w:hAnsi="Arial" w:cs="Arial"/>
        </w:rPr>
        <w:t>,</w:t>
      </w:r>
      <w:r w:rsidRPr="00675D46">
        <w:rPr>
          <w:rFonts w:ascii="Arial" w:eastAsia="Times New Roman" w:hAnsi="Arial" w:cs="Arial"/>
        </w:rPr>
        <w:t xml:space="preserve"> reduced power draw and noise pollution. </w:t>
      </w:r>
      <w:r>
        <w:rPr>
          <w:rFonts w:ascii="Arial" w:eastAsia="Times New Roman" w:hAnsi="Arial" w:cs="Arial"/>
        </w:rPr>
        <w:t>The reduction in overall weight</w:t>
      </w:r>
      <w:r w:rsidRPr="00675D46">
        <w:rPr>
          <w:rFonts w:ascii="Arial" w:eastAsia="Times New Roman" w:hAnsi="Arial" w:cs="Arial"/>
        </w:rPr>
        <w:t xml:space="preserve"> decreases the impact on rotating components.</w:t>
      </w:r>
    </w:p>
    <w:p w:rsidR="00675D46" w:rsidRPr="00675D46" w:rsidRDefault="00675D46" w:rsidP="00675D46">
      <w:pPr>
        <w:spacing w:after="0" w:line="360" w:lineRule="auto"/>
        <w:jc w:val="both"/>
        <w:rPr>
          <w:rFonts w:ascii="Arial" w:eastAsia="Times New Roman" w:hAnsi="Arial" w:cs="Arial"/>
        </w:rPr>
      </w:pPr>
    </w:p>
    <w:p w:rsidR="00675D46" w:rsidRDefault="00675D46" w:rsidP="00675D46">
      <w:pPr>
        <w:spacing w:after="0" w:line="360" w:lineRule="auto"/>
        <w:jc w:val="both"/>
        <w:rPr>
          <w:rFonts w:ascii="Arial" w:eastAsia="Times New Roman" w:hAnsi="Arial" w:cs="Arial"/>
        </w:rPr>
      </w:pPr>
      <w:r w:rsidRPr="00675D46">
        <w:rPr>
          <w:rFonts w:ascii="Arial" w:eastAsia="Times New Roman" w:hAnsi="Arial" w:cs="Arial"/>
        </w:rPr>
        <w:t xml:space="preserve">Downtime is a significant issue faced by the mining industry, and the mining and material processing industry is always looking for ways to enhance availability of the mills that grind and blend materials. </w:t>
      </w:r>
      <w:proofErr w:type="spellStart"/>
      <w:r w:rsidRPr="00675D46">
        <w:rPr>
          <w:rFonts w:ascii="Arial" w:eastAsia="Times New Roman" w:hAnsi="Arial" w:cs="Arial"/>
        </w:rPr>
        <w:t>Trelleborg’s</w:t>
      </w:r>
      <w:proofErr w:type="spellEnd"/>
      <w:r w:rsidRPr="00675D46">
        <w:rPr>
          <w:rFonts w:ascii="Arial" w:eastAsia="Times New Roman" w:hAnsi="Arial" w:cs="Arial"/>
        </w:rPr>
        <w:t xml:space="preserve"> rubber lifter bars offer increased operational efficiencies, significantly reduced downtime, </w:t>
      </w:r>
      <w:proofErr w:type="gramStart"/>
      <w:r w:rsidRPr="00675D46">
        <w:rPr>
          <w:rFonts w:ascii="Arial" w:eastAsia="Times New Roman" w:hAnsi="Arial" w:cs="Arial"/>
        </w:rPr>
        <w:t>simple</w:t>
      </w:r>
      <w:proofErr w:type="gramEnd"/>
      <w:r w:rsidRPr="00675D46">
        <w:rPr>
          <w:rFonts w:ascii="Arial" w:eastAsia="Times New Roman" w:hAnsi="Arial" w:cs="Arial"/>
        </w:rPr>
        <w:t xml:space="preserve"> wear monitoring and life predictability. In addition, when compared with steel, a rubber solution also provides superior resistance to the severe impact, high temperature and abrasion caused by the comminution of the ore within the mine’s grinding mill, enhancing its life.</w:t>
      </w:r>
    </w:p>
    <w:p w:rsidR="00675D46" w:rsidRPr="00675D46" w:rsidRDefault="00675D46" w:rsidP="00675D46">
      <w:pPr>
        <w:spacing w:after="0" w:line="360" w:lineRule="auto"/>
        <w:jc w:val="both"/>
        <w:rPr>
          <w:rFonts w:ascii="Arial" w:eastAsia="Times New Roman" w:hAnsi="Arial" w:cs="Arial"/>
        </w:rPr>
      </w:pPr>
      <w:bookmarkStart w:id="0" w:name="_GoBack"/>
      <w:bookmarkEnd w:id="0"/>
    </w:p>
    <w:p w:rsidR="00675D46" w:rsidRDefault="00675D46" w:rsidP="00675D46">
      <w:pPr>
        <w:spacing w:after="0" w:line="360" w:lineRule="auto"/>
        <w:jc w:val="both"/>
        <w:rPr>
          <w:rFonts w:ascii="Arial" w:eastAsia="Times New Roman" w:hAnsi="Arial" w:cs="Arial"/>
        </w:rPr>
      </w:pPr>
      <w:r w:rsidRPr="00675D46">
        <w:rPr>
          <w:rFonts w:ascii="Arial" w:eastAsia="Times New Roman" w:hAnsi="Arial" w:cs="Arial"/>
        </w:rPr>
        <w:t xml:space="preserve">Composite steel is currently the traditional material of choice for primary and some secondary milling applications and until now has provided a whole-life performance that alternatives could not. However, the development of </w:t>
      </w:r>
      <w:proofErr w:type="spellStart"/>
      <w:r w:rsidRPr="00675D46">
        <w:rPr>
          <w:rFonts w:ascii="Arial" w:eastAsia="Times New Roman" w:hAnsi="Arial" w:cs="Arial"/>
        </w:rPr>
        <w:t>Trelleborg’s</w:t>
      </w:r>
      <w:proofErr w:type="spellEnd"/>
      <w:r w:rsidRPr="00675D46">
        <w:rPr>
          <w:rFonts w:ascii="Arial" w:eastAsia="Times New Roman" w:hAnsi="Arial" w:cs="Arial"/>
        </w:rPr>
        <w:t xml:space="preserve"> special grade rubber compound and various face angles to suit any application, offer greater value and performance versus composite steel lifter bars, without compromising the available volume and throughputs in the </w:t>
      </w:r>
      <w:r>
        <w:rPr>
          <w:rFonts w:ascii="Arial" w:eastAsia="Times New Roman" w:hAnsi="Arial" w:cs="Arial"/>
        </w:rPr>
        <w:t>m</w:t>
      </w:r>
      <w:r w:rsidRPr="00675D46">
        <w:rPr>
          <w:rFonts w:ascii="Arial" w:eastAsia="Times New Roman" w:hAnsi="Arial" w:cs="Arial"/>
        </w:rPr>
        <w:t>ill.</w:t>
      </w:r>
    </w:p>
    <w:p w:rsidR="00675D46" w:rsidRPr="00675D46" w:rsidRDefault="00675D46" w:rsidP="00675D46">
      <w:pPr>
        <w:spacing w:after="0" w:line="360" w:lineRule="auto"/>
        <w:jc w:val="both"/>
        <w:rPr>
          <w:rFonts w:ascii="Arial" w:eastAsia="Times New Roman" w:hAnsi="Arial" w:cs="Arial"/>
        </w:rPr>
      </w:pPr>
    </w:p>
    <w:p w:rsidR="00675D46" w:rsidRDefault="00675D46" w:rsidP="00675D46">
      <w:pPr>
        <w:spacing w:after="0" w:line="360" w:lineRule="auto"/>
        <w:jc w:val="both"/>
        <w:rPr>
          <w:rFonts w:ascii="Arial" w:eastAsia="Times New Roman" w:hAnsi="Arial" w:cs="Arial"/>
        </w:rPr>
      </w:pPr>
      <w:proofErr w:type="spellStart"/>
      <w:r w:rsidRPr="00675D46">
        <w:rPr>
          <w:rFonts w:ascii="Arial" w:eastAsia="Times New Roman" w:hAnsi="Arial" w:cs="Arial"/>
        </w:rPr>
        <w:t>Trelleborg’s</w:t>
      </w:r>
      <w:proofErr w:type="spellEnd"/>
      <w:r w:rsidRPr="00675D46">
        <w:rPr>
          <w:rFonts w:ascii="Arial" w:eastAsia="Times New Roman" w:hAnsi="Arial" w:cs="Arial"/>
        </w:rPr>
        <w:t xml:space="preserve"> expertise in the use of polymers and polymer composites means that it is at the forefront of efficient and effective mill lining solutions. By optimizing design and specialized rubber compound selection for all milling wear protection applications, including lifter bars, </w:t>
      </w:r>
      <w:proofErr w:type="spellStart"/>
      <w:r w:rsidRPr="00675D46">
        <w:rPr>
          <w:rFonts w:ascii="Arial" w:eastAsia="Times New Roman" w:hAnsi="Arial" w:cs="Arial"/>
        </w:rPr>
        <w:t>Trelleborg</w:t>
      </w:r>
      <w:proofErr w:type="spellEnd"/>
      <w:r w:rsidRPr="00675D46">
        <w:rPr>
          <w:rFonts w:ascii="Arial" w:eastAsia="Times New Roman" w:hAnsi="Arial" w:cs="Arial"/>
        </w:rPr>
        <w:t xml:space="preserve"> can provide longer lasting, higher performance solutions.</w:t>
      </w:r>
    </w:p>
    <w:p w:rsidR="00675D46" w:rsidRPr="00675D46" w:rsidRDefault="00675D46" w:rsidP="00675D46">
      <w:pPr>
        <w:spacing w:after="0" w:line="360" w:lineRule="auto"/>
        <w:jc w:val="both"/>
        <w:rPr>
          <w:rFonts w:ascii="Arial" w:eastAsia="Times New Roman" w:hAnsi="Arial" w:cs="Arial"/>
        </w:rPr>
      </w:pPr>
    </w:p>
    <w:p w:rsidR="001E7A68" w:rsidRPr="00675D46" w:rsidRDefault="00675D46" w:rsidP="00675D46">
      <w:pPr>
        <w:spacing w:after="0" w:line="360" w:lineRule="auto"/>
        <w:jc w:val="both"/>
        <w:rPr>
          <w:rFonts w:ascii="Arial" w:eastAsia="Times New Roman" w:hAnsi="Arial" w:cs="Arial"/>
        </w:rPr>
      </w:pPr>
      <w:proofErr w:type="spellStart"/>
      <w:r w:rsidRPr="00675D46">
        <w:rPr>
          <w:rFonts w:ascii="Arial" w:eastAsia="Times New Roman" w:hAnsi="Arial" w:cs="Arial"/>
        </w:rPr>
        <w:t>Trelleborg</w:t>
      </w:r>
      <w:proofErr w:type="spellEnd"/>
      <w:r w:rsidRPr="00675D46">
        <w:rPr>
          <w:rFonts w:ascii="Arial" w:eastAsia="Times New Roman" w:hAnsi="Arial" w:cs="Arial"/>
        </w:rPr>
        <w:t xml:space="preserve"> offers a wide range of rubber lifter bars and plates for ball mills, rod mills and drum scrubbers. The standard rubber lifter sizes range from 50mm – 250mm wide and </w:t>
      </w:r>
      <w:r w:rsidRPr="00675D46">
        <w:rPr>
          <w:rFonts w:ascii="Arial" w:eastAsia="Times New Roman" w:hAnsi="Arial" w:cs="Arial"/>
        </w:rPr>
        <w:lastRenderedPageBreak/>
        <w:t xml:space="preserve">50mm – 350mm in height, and come complete with aluminium and steel tracks, with different face angles to suit the milling or scrubbing application. </w:t>
      </w:r>
      <w:proofErr w:type="spellStart"/>
      <w:r w:rsidRPr="00675D46">
        <w:rPr>
          <w:rFonts w:ascii="Arial" w:eastAsia="Times New Roman" w:hAnsi="Arial" w:cs="Arial"/>
        </w:rPr>
        <w:t>Trelleborg</w:t>
      </w:r>
      <w:proofErr w:type="spellEnd"/>
      <w:r w:rsidRPr="00675D46">
        <w:rPr>
          <w:rFonts w:ascii="Arial" w:eastAsia="Times New Roman" w:hAnsi="Arial" w:cs="Arial"/>
        </w:rPr>
        <w:t xml:space="preserve"> also provides a wide range of shell plates, grate plates, head plates and filler segments, including the backing rubber to protect the mother plate of the mill.</w:t>
      </w:r>
    </w:p>
    <w:p w:rsidR="00675D46" w:rsidRDefault="00675D46" w:rsidP="00675D46">
      <w:pPr>
        <w:spacing w:after="0" w:line="360" w:lineRule="auto"/>
        <w:jc w:val="both"/>
        <w:rPr>
          <w:rFonts w:ascii="Arial" w:eastAsia="Times New Roman" w:hAnsi="Arial" w:cs="Arial"/>
        </w:rPr>
      </w:pPr>
    </w:p>
    <w:p w:rsidR="00476035" w:rsidRPr="008B22CB" w:rsidRDefault="00476035" w:rsidP="00675D46">
      <w:pPr>
        <w:spacing w:after="0" w:line="360" w:lineRule="auto"/>
        <w:jc w:val="both"/>
        <w:rPr>
          <w:rFonts w:ascii="Arial" w:eastAsia="Times New Roman" w:hAnsi="Arial" w:cs="Arial"/>
        </w:rPr>
      </w:pPr>
      <w:r w:rsidRPr="008B22CB">
        <w:rPr>
          <w:rFonts w:ascii="Arial" w:eastAsia="Times New Roman" w:hAnsi="Arial" w:cs="Arial"/>
        </w:rPr>
        <w:t xml:space="preserve">For more information about Trelleborg’s </w:t>
      </w:r>
      <w:r w:rsidR="00080E6E" w:rsidRPr="008B22CB">
        <w:rPr>
          <w:rFonts w:ascii="Arial" w:eastAsia="Times New Roman" w:hAnsi="Arial" w:cs="Arial"/>
        </w:rPr>
        <w:t>engineered products</w:t>
      </w:r>
      <w:r w:rsidRPr="008B22CB">
        <w:rPr>
          <w:rFonts w:ascii="Arial" w:eastAsia="Times New Roman" w:hAnsi="Arial" w:cs="Arial"/>
        </w:rPr>
        <w:t xml:space="preserve"> operation, or any of its produ</w:t>
      </w:r>
      <w:r w:rsidR="002759BA" w:rsidRPr="008B22CB">
        <w:rPr>
          <w:rFonts w:ascii="Arial" w:eastAsia="Times New Roman" w:hAnsi="Arial" w:cs="Arial"/>
        </w:rPr>
        <w:t>cts and solutions, please visit the</w:t>
      </w:r>
      <w:r w:rsidRPr="008B22CB">
        <w:rPr>
          <w:rFonts w:ascii="Arial" w:eastAsia="Times New Roman" w:hAnsi="Arial" w:cs="Arial"/>
        </w:rPr>
        <w:t xml:space="preserve"> </w:t>
      </w:r>
      <w:hyperlink r:id="rId9" w:history="1">
        <w:r w:rsidR="002649F1">
          <w:rPr>
            <w:rStyle w:val="Hyperlink"/>
            <w:rFonts w:ascii="Arial" w:hAnsi="Arial" w:cs="Arial"/>
          </w:rPr>
          <w:t>website.</w:t>
        </w:r>
      </w:hyperlink>
      <w:r w:rsidR="00961BD6">
        <w:rPr>
          <w:rStyle w:val="Hyperlink"/>
          <w:rFonts w:ascii="Arial" w:hAnsi="Arial" w:cs="Arial"/>
          <w:color w:val="auto"/>
        </w:rPr>
        <w:t xml:space="preserve"> </w:t>
      </w:r>
    </w:p>
    <w:p w:rsidR="002759BA" w:rsidRDefault="002759BA" w:rsidP="00675D46">
      <w:pPr>
        <w:spacing w:after="0" w:line="360" w:lineRule="auto"/>
        <w:jc w:val="both"/>
        <w:rPr>
          <w:rFonts w:ascii="Arial" w:eastAsia="Times New Roman" w:hAnsi="Arial" w:cs="Arial"/>
        </w:rPr>
      </w:pPr>
    </w:p>
    <w:p w:rsidR="002759BA" w:rsidRPr="002A49D1" w:rsidRDefault="002759BA" w:rsidP="00CC135D">
      <w:pPr>
        <w:spacing w:after="0" w:line="360" w:lineRule="auto"/>
        <w:jc w:val="center"/>
        <w:rPr>
          <w:rFonts w:ascii="Arial" w:hAnsi="Arial" w:cs="Arial"/>
          <w:lang w:val="en-US"/>
        </w:rPr>
      </w:pPr>
      <w:r w:rsidRPr="002A49D1">
        <w:rPr>
          <w:rFonts w:ascii="Arial" w:hAnsi="Arial" w:cs="Arial"/>
          <w:b/>
          <w:bCs/>
          <w:lang w:val="en-US"/>
        </w:rPr>
        <w:t>-ENDS-</w:t>
      </w:r>
    </w:p>
    <w:p w:rsidR="002759BA" w:rsidRPr="002A49D1" w:rsidRDefault="002759BA" w:rsidP="002759BA">
      <w:pPr>
        <w:pStyle w:val="NormalWeb"/>
        <w:spacing w:before="0" w:beforeAutospacing="0" w:after="0" w:afterAutospacing="0" w:line="360" w:lineRule="auto"/>
        <w:jc w:val="center"/>
        <w:rPr>
          <w:rFonts w:ascii="Arial" w:hAnsi="Arial" w:cs="Arial"/>
          <w:b/>
          <w:sz w:val="18"/>
          <w:szCs w:val="18"/>
          <w:lang w:val="en-US"/>
        </w:rPr>
      </w:pPr>
    </w:p>
    <w:p w:rsidR="002759BA" w:rsidRPr="002A49D1" w:rsidRDefault="002759BA" w:rsidP="002759BA">
      <w:pPr>
        <w:autoSpaceDE w:val="0"/>
        <w:autoSpaceDN w:val="0"/>
        <w:adjustRightInd w:val="0"/>
        <w:spacing w:after="0" w:line="240" w:lineRule="auto"/>
        <w:ind w:left="-142"/>
        <w:jc w:val="both"/>
        <w:rPr>
          <w:rFonts w:ascii="Arial" w:hAnsi="Arial" w:cs="Arial"/>
          <w:sz w:val="18"/>
          <w:szCs w:val="20"/>
          <w:lang w:val="en-US"/>
        </w:rPr>
      </w:pPr>
      <w:r w:rsidRPr="002A49D1">
        <w:rPr>
          <w:rFonts w:ascii="Arial" w:hAnsi="Arial" w:cs="Arial"/>
          <w:iCs/>
          <w:sz w:val="18"/>
          <w:szCs w:val="20"/>
          <w:lang w:val="en-US"/>
        </w:rPr>
        <w:t xml:space="preserve">For additional information </w:t>
      </w:r>
      <w:r>
        <w:rPr>
          <w:rFonts w:ascii="Arial" w:hAnsi="Arial" w:cs="Arial"/>
          <w:iCs/>
          <w:sz w:val="18"/>
          <w:szCs w:val="20"/>
          <w:lang w:val="en-US"/>
        </w:rPr>
        <w:t xml:space="preserve">on </w:t>
      </w:r>
      <w:r w:rsidRPr="0016689C">
        <w:rPr>
          <w:rFonts w:ascii="Arial" w:hAnsi="Arial" w:cs="Arial"/>
          <w:iCs/>
          <w:sz w:val="18"/>
          <w:szCs w:val="20"/>
          <w:lang w:val="en-US"/>
        </w:rPr>
        <w:t xml:space="preserve">Trelleborg </w:t>
      </w:r>
      <w:r w:rsidR="00AF0EAC">
        <w:rPr>
          <w:rFonts w:ascii="Arial" w:hAnsi="Arial" w:cs="Arial"/>
          <w:iCs/>
          <w:sz w:val="18"/>
          <w:szCs w:val="20"/>
          <w:lang w:val="en-US"/>
        </w:rPr>
        <w:t>engineered product’s</w:t>
      </w:r>
      <w:r w:rsidR="00AF0EAC" w:rsidRPr="0016689C">
        <w:rPr>
          <w:rFonts w:ascii="Arial" w:hAnsi="Arial" w:cs="Arial"/>
          <w:iCs/>
          <w:sz w:val="18"/>
          <w:szCs w:val="20"/>
          <w:lang w:val="en-US"/>
        </w:rPr>
        <w:t xml:space="preserve"> </w:t>
      </w:r>
      <w:r w:rsidRPr="0016689C">
        <w:rPr>
          <w:rFonts w:ascii="Arial" w:hAnsi="Arial" w:cs="Arial"/>
          <w:iCs/>
          <w:sz w:val="18"/>
          <w:szCs w:val="20"/>
          <w:lang w:val="en-US"/>
        </w:rPr>
        <w:t>solutions</w:t>
      </w:r>
      <w:r w:rsidRPr="002A49D1">
        <w:rPr>
          <w:rFonts w:ascii="Arial" w:hAnsi="Arial" w:cs="Arial"/>
          <w:iCs/>
          <w:sz w:val="18"/>
          <w:szCs w:val="20"/>
          <w:lang w:val="en-US"/>
        </w:rPr>
        <w:t>, please call</w:t>
      </w:r>
      <w:r w:rsidR="00961BD6">
        <w:rPr>
          <w:rFonts w:ascii="Arial" w:hAnsi="Arial" w:cs="Arial"/>
          <w:iCs/>
          <w:sz w:val="18"/>
          <w:szCs w:val="20"/>
          <w:lang w:val="en-US"/>
        </w:rPr>
        <w:t xml:space="preserve"> Bruce Cage</w:t>
      </w:r>
      <w:r w:rsidRPr="002A49D1">
        <w:rPr>
          <w:rFonts w:ascii="Arial" w:hAnsi="Arial" w:cs="Arial"/>
          <w:iCs/>
          <w:sz w:val="18"/>
          <w:szCs w:val="20"/>
          <w:lang w:val="en-US"/>
        </w:rPr>
        <w:t xml:space="preserve">, </w:t>
      </w:r>
      <w:r w:rsidRPr="002A49D1">
        <w:rPr>
          <w:rFonts w:ascii="Arial" w:hAnsi="Arial" w:cs="Arial"/>
          <w:sz w:val="18"/>
          <w:szCs w:val="20"/>
          <w:lang w:val="en-US"/>
        </w:rPr>
        <w:t xml:space="preserve">Direct: </w:t>
      </w:r>
      <w:r w:rsidR="00961BD6">
        <w:rPr>
          <w:rFonts w:ascii="Arial" w:hAnsi="Arial" w:cs="Arial"/>
          <w:sz w:val="18"/>
          <w:szCs w:val="20"/>
          <w:lang w:val="en-US"/>
        </w:rPr>
        <w:t xml:space="preserve">+61 (0) 7 3866 7401 </w:t>
      </w:r>
      <w:r w:rsidRPr="002A49D1">
        <w:rPr>
          <w:rFonts w:ascii="Arial" w:hAnsi="Arial" w:cs="Arial"/>
          <w:sz w:val="18"/>
          <w:szCs w:val="20"/>
          <w:lang w:val="en-US"/>
        </w:rPr>
        <w:t>Mobile:</w:t>
      </w:r>
      <w:r w:rsidR="00961BD6">
        <w:rPr>
          <w:rFonts w:ascii="Arial" w:hAnsi="Arial" w:cs="Arial"/>
          <w:sz w:val="18"/>
          <w:szCs w:val="20"/>
          <w:lang w:val="en-SG"/>
        </w:rPr>
        <w:t xml:space="preserve"> +61 (0) 419 719 454</w:t>
      </w:r>
      <w:r w:rsidRPr="002A49D1">
        <w:rPr>
          <w:rFonts w:ascii="Arial" w:hAnsi="Arial" w:cs="Arial"/>
          <w:sz w:val="18"/>
          <w:szCs w:val="20"/>
          <w:lang w:val="en-US"/>
        </w:rPr>
        <w:t xml:space="preserve">, Email: </w:t>
      </w:r>
      <w:hyperlink r:id="rId10" w:history="1">
        <w:r w:rsidR="00961BD6" w:rsidRPr="00190D35">
          <w:rPr>
            <w:rStyle w:val="Hyperlink"/>
            <w:rFonts w:ascii="Arial" w:hAnsi="Arial" w:cs="Arial"/>
            <w:sz w:val="18"/>
            <w:szCs w:val="20"/>
            <w:lang w:val="en-US"/>
          </w:rPr>
          <w:t>bruce.cage@trelleborg.com</w:t>
        </w:r>
      </w:hyperlink>
      <w:r w:rsidR="00961BD6">
        <w:rPr>
          <w:rFonts w:ascii="Arial" w:hAnsi="Arial" w:cs="Arial"/>
          <w:sz w:val="18"/>
          <w:szCs w:val="20"/>
          <w:lang w:val="en-US"/>
        </w:rPr>
        <w:t xml:space="preserve">. </w:t>
      </w:r>
    </w:p>
    <w:p w:rsidR="002759BA" w:rsidRPr="002A49D1" w:rsidRDefault="002759BA" w:rsidP="002759BA">
      <w:pPr>
        <w:spacing w:after="0" w:line="240" w:lineRule="auto"/>
        <w:ind w:left="-142"/>
        <w:rPr>
          <w:rFonts w:ascii="Arial" w:hAnsi="Arial" w:cs="Arial"/>
          <w:sz w:val="18"/>
          <w:szCs w:val="20"/>
          <w:lang w:val="en-US"/>
        </w:rPr>
      </w:pPr>
    </w:p>
    <w:p w:rsidR="002759BA" w:rsidRPr="002A49D1" w:rsidRDefault="002759BA" w:rsidP="002759BA">
      <w:pPr>
        <w:spacing w:after="0" w:line="240" w:lineRule="auto"/>
        <w:ind w:left="-142"/>
        <w:jc w:val="both"/>
        <w:rPr>
          <w:rFonts w:ascii="Arial" w:hAnsi="Arial" w:cs="Arial"/>
          <w:sz w:val="18"/>
          <w:szCs w:val="20"/>
          <w:lang w:val="en-US"/>
        </w:rPr>
      </w:pPr>
      <w:r w:rsidRPr="002A49D1">
        <w:rPr>
          <w:rFonts w:ascii="Arial" w:hAnsi="Arial" w:cs="Arial"/>
          <w:b/>
          <w:sz w:val="18"/>
          <w:szCs w:val="20"/>
          <w:lang w:val="en-US"/>
        </w:rPr>
        <w:t>For press information:</w:t>
      </w:r>
      <w:r w:rsidR="00961BD6">
        <w:rPr>
          <w:rFonts w:ascii="Arial" w:hAnsi="Arial" w:cs="Arial"/>
          <w:sz w:val="18"/>
          <w:szCs w:val="20"/>
          <w:lang w:val="en-US"/>
        </w:rPr>
        <w:t xml:space="preserve">  Sarah Suthers</w:t>
      </w:r>
      <w:r>
        <w:rPr>
          <w:rFonts w:ascii="Arial" w:hAnsi="Arial" w:cs="Arial"/>
          <w:sz w:val="18"/>
          <w:szCs w:val="20"/>
          <w:lang w:val="en-US"/>
        </w:rPr>
        <w:t xml:space="preserve"> at Stein IAS</w:t>
      </w:r>
      <w:r w:rsidRPr="002A49D1">
        <w:rPr>
          <w:rFonts w:ascii="Arial" w:hAnsi="Arial" w:cs="Arial"/>
          <w:bCs/>
          <w:sz w:val="18"/>
          <w:szCs w:val="20"/>
          <w:lang w:val="en-US"/>
        </w:rPr>
        <w:t xml:space="preserve">. </w:t>
      </w:r>
      <w:r w:rsidRPr="002A49D1">
        <w:rPr>
          <w:rFonts w:ascii="Arial" w:hAnsi="Arial" w:cs="Arial"/>
          <w:sz w:val="18"/>
          <w:szCs w:val="20"/>
          <w:lang w:val="en-US"/>
        </w:rPr>
        <w:t>Clarence Mill, Clarence Road, Bollington, SK10 5JZ, United Kingdom.  Tel: + 44 (0) 1625 578 578; Fax:  + 44 (0) 1625 578 579. Email:</w:t>
      </w:r>
      <w:r>
        <w:rPr>
          <w:rFonts w:ascii="Arial" w:hAnsi="Arial" w:cs="Arial"/>
          <w:sz w:val="18"/>
          <w:szCs w:val="20"/>
          <w:lang w:val="en-US"/>
        </w:rPr>
        <w:t xml:space="preserve"> </w:t>
      </w:r>
      <w:hyperlink r:id="rId11" w:history="1">
        <w:r w:rsidR="00961BD6" w:rsidRPr="00190D35">
          <w:rPr>
            <w:rStyle w:val="Hyperlink"/>
            <w:rFonts w:ascii="Arial" w:hAnsi="Arial" w:cs="Arial"/>
            <w:sz w:val="18"/>
            <w:szCs w:val="20"/>
            <w:lang w:val="en-US"/>
          </w:rPr>
          <w:t>sarah.suthers@steinias.com</w:t>
        </w:r>
      </w:hyperlink>
      <w:r w:rsidR="00961BD6">
        <w:rPr>
          <w:rFonts w:ascii="Arial" w:hAnsi="Arial" w:cs="Arial"/>
          <w:sz w:val="18"/>
          <w:szCs w:val="20"/>
          <w:lang w:val="en-US"/>
        </w:rPr>
        <w:t xml:space="preserve">. </w:t>
      </w:r>
    </w:p>
    <w:p w:rsidR="002759BA" w:rsidRPr="002A49D1" w:rsidRDefault="002759BA" w:rsidP="002759BA">
      <w:pPr>
        <w:spacing w:after="0" w:line="240" w:lineRule="auto"/>
        <w:ind w:left="-142"/>
        <w:jc w:val="both"/>
        <w:rPr>
          <w:rFonts w:ascii="Arial" w:hAnsi="Arial" w:cs="Arial"/>
          <w:sz w:val="18"/>
          <w:szCs w:val="20"/>
          <w:lang w:val="en-US"/>
        </w:rPr>
      </w:pPr>
    </w:p>
    <w:p w:rsidR="002759BA" w:rsidRPr="002A49D1" w:rsidRDefault="002759BA" w:rsidP="002759BA">
      <w:pPr>
        <w:pStyle w:val="Heading3"/>
        <w:ind w:left="-142"/>
        <w:jc w:val="both"/>
        <w:rPr>
          <w:iCs/>
          <w:sz w:val="18"/>
          <w:szCs w:val="20"/>
        </w:rPr>
      </w:pPr>
      <w:r w:rsidRPr="002A49D1">
        <w:rPr>
          <w:iCs/>
          <w:sz w:val="18"/>
          <w:szCs w:val="20"/>
        </w:rPr>
        <w:t xml:space="preserve">Notes to Editors: </w:t>
      </w:r>
    </w:p>
    <w:p w:rsidR="002759BA" w:rsidRDefault="002759BA" w:rsidP="002759BA">
      <w:pPr>
        <w:pStyle w:val="Heading3"/>
        <w:ind w:left="-142"/>
        <w:jc w:val="both"/>
        <w:rPr>
          <w:iCs/>
          <w:sz w:val="18"/>
          <w:szCs w:val="20"/>
        </w:rPr>
      </w:pPr>
      <w:r w:rsidRPr="0016689C">
        <w:rPr>
          <w:iCs/>
          <w:sz w:val="18"/>
          <w:szCs w:val="20"/>
        </w:rPr>
        <w:t>Trelleborg</w:t>
      </w:r>
      <w:r w:rsidR="00C530E3">
        <w:rPr>
          <w:iCs/>
          <w:sz w:val="18"/>
          <w:szCs w:val="20"/>
        </w:rPr>
        <w:t>’s</w:t>
      </w:r>
      <w:r w:rsidRPr="0016689C">
        <w:rPr>
          <w:iCs/>
          <w:sz w:val="18"/>
          <w:szCs w:val="20"/>
        </w:rPr>
        <w:t xml:space="preserve"> </w:t>
      </w:r>
      <w:r>
        <w:rPr>
          <w:iCs/>
          <w:sz w:val="18"/>
          <w:szCs w:val="20"/>
        </w:rPr>
        <w:t xml:space="preserve">engineered products operation </w:t>
      </w:r>
      <w:r w:rsidRPr="0016689C">
        <w:rPr>
          <w:iCs/>
          <w:sz w:val="18"/>
          <w:szCs w:val="20"/>
        </w:rPr>
        <w:t>and</w:t>
      </w:r>
      <w:r w:rsidRPr="002A49D1">
        <w:rPr>
          <w:iCs/>
          <w:sz w:val="18"/>
          <w:szCs w:val="20"/>
        </w:rPr>
        <w:t xml:space="preserve"> Trelleborg Group</w:t>
      </w:r>
    </w:p>
    <w:p w:rsidR="002759BA" w:rsidRPr="005A3DE0" w:rsidRDefault="002759BA" w:rsidP="002759BA">
      <w:pPr>
        <w:pStyle w:val="Heading3"/>
        <w:ind w:left="-142"/>
        <w:jc w:val="both"/>
        <w:rPr>
          <w:b w:val="0"/>
          <w:sz w:val="18"/>
          <w:szCs w:val="18"/>
          <w:lang w:val="en-GB"/>
        </w:rPr>
      </w:pPr>
      <w:r w:rsidRPr="00043A28">
        <w:rPr>
          <w:b w:val="0"/>
          <w:sz w:val="18"/>
          <w:szCs w:val="18"/>
          <w:lang w:val="en-GB"/>
        </w:rPr>
        <w:t xml:space="preserve">Part of the Trelleborg Offshore &amp; Construction business area of Trelleborg Group, </w:t>
      </w:r>
      <w:r>
        <w:rPr>
          <w:b w:val="0"/>
          <w:sz w:val="18"/>
          <w:szCs w:val="18"/>
          <w:lang w:val="en-GB"/>
        </w:rPr>
        <w:t xml:space="preserve">the </w:t>
      </w:r>
      <w:r w:rsidRPr="00043A28">
        <w:rPr>
          <w:b w:val="0"/>
          <w:sz w:val="18"/>
          <w:szCs w:val="18"/>
          <w:lang w:val="en-GB"/>
        </w:rPr>
        <w:t xml:space="preserve">Trelleborg </w:t>
      </w:r>
      <w:r>
        <w:rPr>
          <w:b w:val="0"/>
          <w:sz w:val="18"/>
          <w:szCs w:val="18"/>
          <w:lang w:val="en-GB"/>
        </w:rPr>
        <w:t>e</w:t>
      </w:r>
      <w:r w:rsidRPr="00043A28">
        <w:rPr>
          <w:b w:val="0"/>
          <w:sz w:val="18"/>
          <w:szCs w:val="18"/>
          <w:lang w:val="en-GB"/>
        </w:rPr>
        <w:t xml:space="preserve">ngineered </w:t>
      </w:r>
      <w:r>
        <w:rPr>
          <w:b w:val="0"/>
          <w:sz w:val="18"/>
          <w:szCs w:val="18"/>
          <w:lang w:val="en-GB"/>
        </w:rPr>
        <w:t>p</w:t>
      </w:r>
      <w:r w:rsidRPr="00043A28">
        <w:rPr>
          <w:b w:val="0"/>
          <w:sz w:val="18"/>
          <w:szCs w:val="18"/>
          <w:lang w:val="en-GB"/>
        </w:rPr>
        <w:t xml:space="preserve">roducts </w:t>
      </w:r>
      <w:r>
        <w:rPr>
          <w:b w:val="0"/>
          <w:sz w:val="18"/>
          <w:szCs w:val="18"/>
          <w:lang w:val="en-GB"/>
        </w:rPr>
        <w:t xml:space="preserve">operation </w:t>
      </w:r>
      <w:r w:rsidRPr="00043A28">
        <w:rPr>
          <w:b w:val="0"/>
          <w:sz w:val="18"/>
          <w:szCs w:val="18"/>
          <w:lang w:val="en-GB"/>
        </w:rPr>
        <w:t>is a leading global developer, manufacturer and provider of engineered polymer solutions to the energy, infrastructure and mining industries. Performing in some of the harshest environments on earth, its principal products are sealing systems for tunnels, a wide range of bearings, polymer solutions for floatover technology and wear resistant products for the mining industry. With local support, a track record of over 100 years and its everyday ingenuity, customers can rely on Trelleborg</w:t>
      </w:r>
      <w:r>
        <w:rPr>
          <w:b w:val="0"/>
          <w:sz w:val="18"/>
          <w:szCs w:val="18"/>
          <w:lang w:val="en-GB"/>
        </w:rPr>
        <w:t>’s e</w:t>
      </w:r>
      <w:r w:rsidRPr="00043A28">
        <w:rPr>
          <w:b w:val="0"/>
          <w:sz w:val="18"/>
          <w:szCs w:val="18"/>
          <w:lang w:val="en-GB"/>
        </w:rPr>
        <w:t xml:space="preserve">ngineered </w:t>
      </w:r>
      <w:r>
        <w:rPr>
          <w:b w:val="0"/>
          <w:sz w:val="18"/>
          <w:szCs w:val="18"/>
          <w:lang w:val="en-GB"/>
        </w:rPr>
        <w:t>p</w:t>
      </w:r>
      <w:r w:rsidRPr="00043A28">
        <w:rPr>
          <w:b w:val="0"/>
          <w:sz w:val="18"/>
          <w:szCs w:val="18"/>
          <w:lang w:val="en-GB"/>
        </w:rPr>
        <w:t xml:space="preserve">roducts </w:t>
      </w:r>
      <w:r>
        <w:rPr>
          <w:b w:val="0"/>
          <w:sz w:val="18"/>
          <w:szCs w:val="18"/>
          <w:lang w:val="en-GB"/>
        </w:rPr>
        <w:t xml:space="preserve">operation </w:t>
      </w:r>
      <w:r w:rsidRPr="00043A28">
        <w:rPr>
          <w:b w:val="0"/>
          <w:sz w:val="18"/>
          <w:szCs w:val="18"/>
          <w:lang w:val="en-GB"/>
        </w:rPr>
        <w:t>to deliver innovative polymer solutions that significantly improve the quality, safety and efficiency of its customers’ operations worldwide.</w:t>
      </w:r>
      <w:hyperlink r:id="rId12" w:history="1">
        <w:r w:rsidRPr="00DE0476">
          <w:rPr>
            <w:rStyle w:val="Hyperlink"/>
            <w:b w:val="0"/>
            <w:sz w:val="18"/>
            <w:szCs w:val="18"/>
            <w:lang w:val="en-GB"/>
          </w:rPr>
          <w:t>www.trelleborg.com/engineeredproducts</w:t>
        </w:r>
      </w:hyperlink>
      <w:r>
        <w:rPr>
          <w:b w:val="0"/>
          <w:sz w:val="18"/>
          <w:szCs w:val="18"/>
          <w:lang w:val="en-GB"/>
        </w:rPr>
        <w:t xml:space="preserve">. </w:t>
      </w:r>
    </w:p>
    <w:p w:rsidR="002759BA" w:rsidRDefault="002759BA" w:rsidP="002759BA">
      <w:pPr>
        <w:pStyle w:val="Heading3"/>
        <w:ind w:left="-142"/>
        <w:jc w:val="both"/>
        <w:rPr>
          <w:b w:val="0"/>
          <w:sz w:val="18"/>
          <w:szCs w:val="18"/>
          <w:u w:val="single"/>
          <w:lang w:val="en-GB"/>
        </w:rPr>
      </w:pPr>
    </w:p>
    <w:p w:rsidR="002A79DF" w:rsidRPr="00416C7D" w:rsidRDefault="002A79DF" w:rsidP="002A79DF">
      <w:pPr>
        <w:spacing w:after="0" w:line="240" w:lineRule="auto"/>
        <w:ind w:left="-142"/>
        <w:jc w:val="both"/>
        <w:rPr>
          <w:rFonts w:ascii="Arial" w:hAnsi="Arial" w:cs="Arial"/>
          <w:color w:val="000000"/>
          <w:sz w:val="18"/>
          <w:szCs w:val="20"/>
          <w:lang w:eastAsia="zh-TW" w:bidi="th-TH"/>
        </w:rPr>
      </w:pPr>
      <w:r w:rsidRPr="00416C7D">
        <w:rPr>
          <w:rFonts w:ascii="Arial" w:eastAsia="Times New Roman" w:hAnsi="Arial" w:cs="Arial"/>
          <w:sz w:val="18"/>
          <w:szCs w:val="18"/>
          <w:lang w:val="en-US" w:eastAsia="en-US"/>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416C7D">
        <w:rPr>
          <w:rFonts w:ascii="Arial" w:eastAsia="Times New Roman" w:hAnsi="Arial" w:cs="Arial"/>
          <w:sz w:val="18"/>
          <w:szCs w:val="18"/>
          <w:lang w:val="en-US" w:eastAsia="en-US"/>
        </w:rPr>
        <w:t>TrelleborgVibracoustic</w:t>
      </w:r>
      <w:proofErr w:type="spellEnd"/>
      <w:r w:rsidRPr="00416C7D">
        <w:rPr>
          <w:rFonts w:ascii="Arial" w:eastAsia="Times New Roman" w:hAnsi="Arial" w:cs="Arial"/>
          <w:sz w:val="18"/>
          <w:szCs w:val="18"/>
          <w:lang w:val="en-US" w:eastAsia="en-US"/>
        </w:rPr>
        <w:t xml:space="preserve">, a global leader within antivibration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3" w:history="1">
        <w:r w:rsidRPr="00416C7D">
          <w:rPr>
            <w:rFonts w:ascii="Arial" w:eastAsia="Times New Roman" w:hAnsi="Arial" w:cs="Arial"/>
            <w:color w:val="0000FF"/>
            <w:sz w:val="18"/>
            <w:szCs w:val="18"/>
            <w:u w:val="single"/>
            <w:lang w:val="en-US" w:eastAsia="en-US"/>
          </w:rPr>
          <w:t>www.trelleborg.com</w:t>
        </w:r>
      </w:hyperlink>
      <w:r w:rsidRPr="00416C7D">
        <w:rPr>
          <w:rFonts w:ascii="Arial" w:eastAsia="Times New Roman" w:hAnsi="Arial" w:cs="Arial"/>
          <w:sz w:val="18"/>
          <w:szCs w:val="18"/>
          <w:lang w:val="en-US" w:eastAsia="en-US"/>
        </w:rPr>
        <w:t xml:space="preserve">. </w:t>
      </w:r>
    </w:p>
    <w:p w:rsidR="002759BA" w:rsidRPr="00476035" w:rsidRDefault="002759BA" w:rsidP="00476035">
      <w:pPr>
        <w:spacing w:after="0" w:line="360" w:lineRule="auto"/>
        <w:jc w:val="both"/>
        <w:rPr>
          <w:rFonts w:ascii="Arial" w:eastAsia="Times New Roman" w:hAnsi="Arial" w:cs="Arial"/>
        </w:rPr>
      </w:pPr>
    </w:p>
    <w:p w:rsidR="000C5237" w:rsidRPr="00677506" w:rsidRDefault="000C5237" w:rsidP="00476035">
      <w:pPr>
        <w:spacing w:after="0" w:line="360" w:lineRule="auto"/>
        <w:rPr>
          <w:rFonts w:ascii="Arial" w:hAnsi="Arial" w:cs="Arial"/>
          <w:b/>
          <w:u w:val="single"/>
          <w:lang w:val="en-US"/>
        </w:rPr>
      </w:pPr>
    </w:p>
    <w:sectPr w:rsidR="000C5237" w:rsidRPr="00677506" w:rsidSect="00DE643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09" w:rsidRDefault="00B45109" w:rsidP="00325FB7">
      <w:pPr>
        <w:spacing w:after="0" w:line="240" w:lineRule="auto"/>
      </w:pPr>
      <w:r>
        <w:separator/>
      </w:r>
    </w:p>
  </w:endnote>
  <w:endnote w:type="continuationSeparator" w:id="0">
    <w:p w:rsidR="00B45109" w:rsidRDefault="00B45109" w:rsidP="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09" w:rsidRDefault="00B45109" w:rsidP="00325FB7">
      <w:pPr>
        <w:spacing w:after="0" w:line="240" w:lineRule="auto"/>
      </w:pPr>
      <w:r>
        <w:separator/>
      </w:r>
    </w:p>
  </w:footnote>
  <w:footnote w:type="continuationSeparator" w:id="0">
    <w:p w:rsidR="00B45109" w:rsidRDefault="00B45109" w:rsidP="0032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6A" w:rsidRDefault="0097576A">
    <w:pPr>
      <w:pStyle w:val="Header"/>
    </w:pPr>
    <w:r w:rsidRPr="009F51D3">
      <w:rPr>
        <w:rFonts w:ascii="Arial" w:eastAsia="Times New Roman" w:hAnsi="Arial" w:cs="Arial"/>
        <w:b/>
        <w:noProof/>
        <w:color w:val="FF0000"/>
      </w:rPr>
      <w:drawing>
        <wp:anchor distT="0" distB="0" distL="114300" distR="114300" simplePos="0" relativeHeight="251659264" behindDoc="0" locked="0" layoutInCell="1" allowOverlap="1" wp14:anchorId="772A7CA0" wp14:editId="33FBF10C">
          <wp:simplePos x="0" y="0"/>
          <wp:positionH relativeFrom="margin">
            <wp:align>center</wp:align>
          </wp:positionH>
          <wp:positionV relativeFrom="paragraph">
            <wp:posOffset>-316230</wp:posOffset>
          </wp:positionV>
          <wp:extent cx="1438275" cy="600075"/>
          <wp:effectExtent l="0" t="0" r="9525" b="9525"/>
          <wp:wrapThrough wrapText="bothSides">
            <wp:wrapPolygon edited="0">
              <wp:start x="0" y="0"/>
              <wp:lineTo x="0" y="21257"/>
              <wp:lineTo x="21457" y="21257"/>
              <wp:lineTo x="21457" y="0"/>
              <wp:lineTo x="0" y="0"/>
            </wp:wrapPolygon>
          </wp:wrapThrough>
          <wp:docPr id="2"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05"/>
    <w:multiLevelType w:val="hybridMultilevel"/>
    <w:tmpl w:val="1570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820A26"/>
    <w:multiLevelType w:val="hybridMultilevel"/>
    <w:tmpl w:val="D726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38792D"/>
    <w:multiLevelType w:val="hybridMultilevel"/>
    <w:tmpl w:val="F490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B7"/>
    <w:rsid w:val="00006159"/>
    <w:rsid w:val="00011C20"/>
    <w:rsid w:val="00014AA8"/>
    <w:rsid w:val="000208F9"/>
    <w:rsid w:val="00023CC3"/>
    <w:rsid w:val="00024B51"/>
    <w:rsid w:val="00025539"/>
    <w:rsid w:val="00026482"/>
    <w:rsid w:val="00031C00"/>
    <w:rsid w:val="000371C6"/>
    <w:rsid w:val="00041BF2"/>
    <w:rsid w:val="00046618"/>
    <w:rsid w:val="000468EA"/>
    <w:rsid w:val="0005561C"/>
    <w:rsid w:val="000654F8"/>
    <w:rsid w:val="00065C7A"/>
    <w:rsid w:val="00067116"/>
    <w:rsid w:val="00073745"/>
    <w:rsid w:val="00073837"/>
    <w:rsid w:val="00080E6E"/>
    <w:rsid w:val="00083878"/>
    <w:rsid w:val="00085880"/>
    <w:rsid w:val="00090B8D"/>
    <w:rsid w:val="0009490A"/>
    <w:rsid w:val="00096E60"/>
    <w:rsid w:val="000A09DA"/>
    <w:rsid w:val="000A2A6C"/>
    <w:rsid w:val="000A681B"/>
    <w:rsid w:val="000B61F8"/>
    <w:rsid w:val="000C5237"/>
    <w:rsid w:val="000D6DAB"/>
    <w:rsid w:val="000E7C9D"/>
    <w:rsid w:val="000F380B"/>
    <w:rsid w:val="000F4361"/>
    <w:rsid w:val="00101229"/>
    <w:rsid w:val="00102D17"/>
    <w:rsid w:val="00105412"/>
    <w:rsid w:val="0011175D"/>
    <w:rsid w:val="001261CB"/>
    <w:rsid w:val="00126C9A"/>
    <w:rsid w:val="00130629"/>
    <w:rsid w:val="00132291"/>
    <w:rsid w:val="00140B3C"/>
    <w:rsid w:val="00153584"/>
    <w:rsid w:val="00155948"/>
    <w:rsid w:val="00162D73"/>
    <w:rsid w:val="00162E65"/>
    <w:rsid w:val="0016689C"/>
    <w:rsid w:val="00171B8E"/>
    <w:rsid w:val="00175787"/>
    <w:rsid w:val="0017604A"/>
    <w:rsid w:val="00177297"/>
    <w:rsid w:val="0018283A"/>
    <w:rsid w:val="00183A75"/>
    <w:rsid w:val="001A4000"/>
    <w:rsid w:val="001A4B74"/>
    <w:rsid w:val="001B5069"/>
    <w:rsid w:val="001B6C5F"/>
    <w:rsid w:val="001C646B"/>
    <w:rsid w:val="001C7AD1"/>
    <w:rsid w:val="001E366A"/>
    <w:rsid w:val="001E4976"/>
    <w:rsid w:val="001E7A68"/>
    <w:rsid w:val="001F106D"/>
    <w:rsid w:val="001F134E"/>
    <w:rsid w:val="001F259E"/>
    <w:rsid w:val="001F5174"/>
    <w:rsid w:val="001F7A80"/>
    <w:rsid w:val="0020051F"/>
    <w:rsid w:val="002109B2"/>
    <w:rsid w:val="00212DB5"/>
    <w:rsid w:val="002141B9"/>
    <w:rsid w:val="00225448"/>
    <w:rsid w:val="0023244C"/>
    <w:rsid w:val="002457EC"/>
    <w:rsid w:val="002569E3"/>
    <w:rsid w:val="00261D6E"/>
    <w:rsid w:val="00261EA0"/>
    <w:rsid w:val="002649F1"/>
    <w:rsid w:val="002735EF"/>
    <w:rsid w:val="002759BA"/>
    <w:rsid w:val="00275E02"/>
    <w:rsid w:val="00287607"/>
    <w:rsid w:val="002A02F6"/>
    <w:rsid w:val="002A4729"/>
    <w:rsid w:val="002A49D1"/>
    <w:rsid w:val="002A5593"/>
    <w:rsid w:val="002A79DF"/>
    <w:rsid w:val="002B1574"/>
    <w:rsid w:val="002C238B"/>
    <w:rsid w:val="002C26F7"/>
    <w:rsid w:val="002C3EBD"/>
    <w:rsid w:val="002C5683"/>
    <w:rsid w:val="002D0731"/>
    <w:rsid w:val="002D15EB"/>
    <w:rsid w:val="002D21F7"/>
    <w:rsid w:val="002E0415"/>
    <w:rsid w:val="002E3E4D"/>
    <w:rsid w:val="002F7E89"/>
    <w:rsid w:val="003044B1"/>
    <w:rsid w:val="00311EA1"/>
    <w:rsid w:val="0031320D"/>
    <w:rsid w:val="00322258"/>
    <w:rsid w:val="00325FB7"/>
    <w:rsid w:val="003271BB"/>
    <w:rsid w:val="00330648"/>
    <w:rsid w:val="00331B01"/>
    <w:rsid w:val="00344C3C"/>
    <w:rsid w:val="003551BA"/>
    <w:rsid w:val="00356B78"/>
    <w:rsid w:val="00363D28"/>
    <w:rsid w:val="00366198"/>
    <w:rsid w:val="00366FCB"/>
    <w:rsid w:val="00367A08"/>
    <w:rsid w:val="00374BA6"/>
    <w:rsid w:val="003753DC"/>
    <w:rsid w:val="00381FCF"/>
    <w:rsid w:val="00386049"/>
    <w:rsid w:val="0038642D"/>
    <w:rsid w:val="003A3606"/>
    <w:rsid w:val="003B0C79"/>
    <w:rsid w:val="003C2CA6"/>
    <w:rsid w:val="003C2EAE"/>
    <w:rsid w:val="003C6A38"/>
    <w:rsid w:val="003D4493"/>
    <w:rsid w:val="003D4782"/>
    <w:rsid w:val="003D65D5"/>
    <w:rsid w:val="003E40B9"/>
    <w:rsid w:val="003F0E95"/>
    <w:rsid w:val="003F425A"/>
    <w:rsid w:val="003F6E2E"/>
    <w:rsid w:val="00403B9E"/>
    <w:rsid w:val="00403D04"/>
    <w:rsid w:val="00407A95"/>
    <w:rsid w:val="00425439"/>
    <w:rsid w:val="00434D2D"/>
    <w:rsid w:val="00437A99"/>
    <w:rsid w:val="004424FD"/>
    <w:rsid w:val="004457ED"/>
    <w:rsid w:val="00446AF8"/>
    <w:rsid w:val="004532CB"/>
    <w:rsid w:val="00476035"/>
    <w:rsid w:val="0048048C"/>
    <w:rsid w:val="004814D9"/>
    <w:rsid w:val="00482269"/>
    <w:rsid w:val="004A1EAA"/>
    <w:rsid w:val="004C3B72"/>
    <w:rsid w:val="004C6805"/>
    <w:rsid w:val="004D70FA"/>
    <w:rsid w:val="004D72EB"/>
    <w:rsid w:val="005104EC"/>
    <w:rsid w:val="00515821"/>
    <w:rsid w:val="00515FCC"/>
    <w:rsid w:val="005177AE"/>
    <w:rsid w:val="00523BE3"/>
    <w:rsid w:val="005254CA"/>
    <w:rsid w:val="00526A24"/>
    <w:rsid w:val="00527758"/>
    <w:rsid w:val="00530D95"/>
    <w:rsid w:val="005350E2"/>
    <w:rsid w:val="00536293"/>
    <w:rsid w:val="00540960"/>
    <w:rsid w:val="005420D9"/>
    <w:rsid w:val="0054738A"/>
    <w:rsid w:val="005509B3"/>
    <w:rsid w:val="005528E7"/>
    <w:rsid w:val="00552BBB"/>
    <w:rsid w:val="005552D7"/>
    <w:rsid w:val="00561718"/>
    <w:rsid w:val="00563D70"/>
    <w:rsid w:val="005650B2"/>
    <w:rsid w:val="00571FE5"/>
    <w:rsid w:val="005725F4"/>
    <w:rsid w:val="0057757D"/>
    <w:rsid w:val="00580EB3"/>
    <w:rsid w:val="0058343C"/>
    <w:rsid w:val="005837BB"/>
    <w:rsid w:val="00585196"/>
    <w:rsid w:val="005858AF"/>
    <w:rsid w:val="0059279F"/>
    <w:rsid w:val="005965EB"/>
    <w:rsid w:val="005A52FE"/>
    <w:rsid w:val="005B6D2C"/>
    <w:rsid w:val="005C033A"/>
    <w:rsid w:val="005C6A65"/>
    <w:rsid w:val="005E675B"/>
    <w:rsid w:val="005F06FC"/>
    <w:rsid w:val="005F7391"/>
    <w:rsid w:val="005F7606"/>
    <w:rsid w:val="0060031F"/>
    <w:rsid w:val="0060467A"/>
    <w:rsid w:val="006128CA"/>
    <w:rsid w:val="00614B8F"/>
    <w:rsid w:val="00620364"/>
    <w:rsid w:val="0062239A"/>
    <w:rsid w:val="00624A8F"/>
    <w:rsid w:val="00646D34"/>
    <w:rsid w:val="00656D0E"/>
    <w:rsid w:val="00657080"/>
    <w:rsid w:val="00661330"/>
    <w:rsid w:val="00664ADE"/>
    <w:rsid w:val="00665557"/>
    <w:rsid w:val="00671DB0"/>
    <w:rsid w:val="00671DCE"/>
    <w:rsid w:val="00675D46"/>
    <w:rsid w:val="00677506"/>
    <w:rsid w:val="00690B58"/>
    <w:rsid w:val="00694B97"/>
    <w:rsid w:val="006961F3"/>
    <w:rsid w:val="006A2241"/>
    <w:rsid w:val="006A25C3"/>
    <w:rsid w:val="006A6EB6"/>
    <w:rsid w:val="006B1972"/>
    <w:rsid w:val="006B24EC"/>
    <w:rsid w:val="006B334E"/>
    <w:rsid w:val="006C4067"/>
    <w:rsid w:val="006C6DE0"/>
    <w:rsid w:val="006D44EF"/>
    <w:rsid w:val="006E4423"/>
    <w:rsid w:val="006F0F19"/>
    <w:rsid w:val="006F429E"/>
    <w:rsid w:val="00700391"/>
    <w:rsid w:val="00701294"/>
    <w:rsid w:val="00704598"/>
    <w:rsid w:val="007227F4"/>
    <w:rsid w:val="00736E78"/>
    <w:rsid w:val="00740C8B"/>
    <w:rsid w:val="00743B7D"/>
    <w:rsid w:val="0074691B"/>
    <w:rsid w:val="00757041"/>
    <w:rsid w:val="00760173"/>
    <w:rsid w:val="007649F5"/>
    <w:rsid w:val="007757E9"/>
    <w:rsid w:val="00783AA3"/>
    <w:rsid w:val="007B56E6"/>
    <w:rsid w:val="007C24C9"/>
    <w:rsid w:val="007E1788"/>
    <w:rsid w:val="007E4A35"/>
    <w:rsid w:val="007F0774"/>
    <w:rsid w:val="00803BD3"/>
    <w:rsid w:val="008044EE"/>
    <w:rsid w:val="00804B00"/>
    <w:rsid w:val="008127D0"/>
    <w:rsid w:val="00814E65"/>
    <w:rsid w:val="00820C43"/>
    <w:rsid w:val="00822457"/>
    <w:rsid w:val="0082264D"/>
    <w:rsid w:val="008243BF"/>
    <w:rsid w:val="00832F71"/>
    <w:rsid w:val="008343D8"/>
    <w:rsid w:val="00834798"/>
    <w:rsid w:val="008359D4"/>
    <w:rsid w:val="00841A32"/>
    <w:rsid w:val="00842DCF"/>
    <w:rsid w:val="00846DB3"/>
    <w:rsid w:val="00854C7E"/>
    <w:rsid w:val="008575B3"/>
    <w:rsid w:val="00862C0C"/>
    <w:rsid w:val="00873A93"/>
    <w:rsid w:val="008757F3"/>
    <w:rsid w:val="0088338E"/>
    <w:rsid w:val="0089215A"/>
    <w:rsid w:val="00892B8F"/>
    <w:rsid w:val="008930A7"/>
    <w:rsid w:val="00897C99"/>
    <w:rsid w:val="008A3B4A"/>
    <w:rsid w:val="008A3CEC"/>
    <w:rsid w:val="008A7CFA"/>
    <w:rsid w:val="008A7D88"/>
    <w:rsid w:val="008B22CB"/>
    <w:rsid w:val="008B362C"/>
    <w:rsid w:val="008D4827"/>
    <w:rsid w:val="008D6058"/>
    <w:rsid w:val="008E276B"/>
    <w:rsid w:val="008F6AE0"/>
    <w:rsid w:val="009001B0"/>
    <w:rsid w:val="009003BD"/>
    <w:rsid w:val="0090339B"/>
    <w:rsid w:val="0091169E"/>
    <w:rsid w:val="00913ED5"/>
    <w:rsid w:val="0092157B"/>
    <w:rsid w:val="00923631"/>
    <w:rsid w:val="00924FFE"/>
    <w:rsid w:val="00937AEA"/>
    <w:rsid w:val="00943EC2"/>
    <w:rsid w:val="009440A5"/>
    <w:rsid w:val="00951413"/>
    <w:rsid w:val="00953746"/>
    <w:rsid w:val="00956A23"/>
    <w:rsid w:val="0095771E"/>
    <w:rsid w:val="00961BD6"/>
    <w:rsid w:val="0097576A"/>
    <w:rsid w:val="00977CE8"/>
    <w:rsid w:val="00984424"/>
    <w:rsid w:val="00984CDB"/>
    <w:rsid w:val="0099286C"/>
    <w:rsid w:val="0099511D"/>
    <w:rsid w:val="00996049"/>
    <w:rsid w:val="00996DC7"/>
    <w:rsid w:val="009A14EE"/>
    <w:rsid w:val="009A252D"/>
    <w:rsid w:val="009A6123"/>
    <w:rsid w:val="009A684F"/>
    <w:rsid w:val="009A7203"/>
    <w:rsid w:val="009B5EC4"/>
    <w:rsid w:val="009B6776"/>
    <w:rsid w:val="009B7FBE"/>
    <w:rsid w:val="009C10CA"/>
    <w:rsid w:val="009C6191"/>
    <w:rsid w:val="009D41EE"/>
    <w:rsid w:val="009E5EBB"/>
    <w:rsid w:val="009F0C35"/>
    <w:rsid w:val="009F0FDC"/>
    <w:rsid w:val="009F3383"/>
    <w:rsid w:val="009F51D3"/>
    <w:rsid w:val="009F752B"/>
    <w:rsid w:val="00A136B3"/>
    <w:rsid w:val="00A20091"/>
    <w:rsid w:val="00A22BAC"/>
    <w:rsid w:val="00A22BD6"/>
    <w:rsid w:val="00A26567"/>
    <w:rsid w:val="00A30A05"/>
    <w:rsid w:val="00A346DE"/>
    <w:rsid w:val="00A44EDA"/>
    <w:rsid w:val="00A53C30"/>
    <w:rsid w:val="00A71E4C"/>
    <w:rsid w:val="00A77464"/>
    <w:rsid w:val="00A779C0"/>
    <w:rsid w:val="00A77D38"/>
    <w:rsid w:val="00A8690D"/>
    <w:rsid w:val="00A96211"/>
    <w:rsid w:val="00AA0559"/>
    <w:rsid w:val="00AA0B1B"/>
    <w:rsid w:val="00AA51F5"/>
    <w:rsid w:val="00AA6684"/>
    <w:rsid w:val="00AB449C"/>
    <w:rsid w:val="00AC2768"/>
    <w:rsid w:val="00AC2C7C"/>
    <w:rsid w:val="00AC494E"/>
    <w:rsid w:val="00AC528A"/>
    <w:rsid w:val="00AC6F21"/>
    <w:rsid w:val="00AD3EC1"/>
    <w:rsid w:val="00AD6CFF"/>
    <w:rsid w:val="00AE7860"/>
    <w:rsid w:val="00AF0EAC"/>
    <w:rsid w:val="00B00753"/>
    <w:rsid w:val="00B134FC"/>
    <w:rsid w:val="00B21FCE"/>
    <w:rsid w:val="00B268C1"/>
    <w:rsid w:val="00B31F65"/>
    <w:rsid w:val="00B329B4"/>
    <w:rsid w:val="00B32DF3"/>
    <w:rsid w:val="00B371CD"/>
    <w:rsid w:val="00B431C7"/>
    <w:rsid w:val="00B45109"/>
    <w:rsid w:val="00B531CA"/>
    <w:rsid w:val="00B54FD8"/>
    <w:rsid w:val="00B57DD9"/>
    <w:rsid w:val="00B66543"/>
    <w:rsid w:val="00B70EF3"/>
    <w:rsid w:val="00B87228"/>
    <w:rsid w:val="00B95B63"/>
    <w:rsid w:val="00BA205A"/>
    <w:rsid w:val="00BA36B2"/>
    <w:rsid w:val="00BA5AA9"/>
    <w:rsid w:val="00BB4022"/>
    <w:rsid w:val="00BC1AB2"/>
    <w:rsid w:val="00BC3830"/>
    <w:rsid w:val="00BD49A4"/>
    <w:rsid w:val="00BE0CA6"/>
    <w:rsid w:val="00BE568C"/>
    <w:rsid w:val="00BE6899"/>
    <w:rsid w:val="00BE68E8"/>
    <w:rsid w:val="00BE6EE6"/>
    <w:rsid w:val="00BF312F"/>
    <w:rsid w:val="00C00802"/>
    <w:rsid w:val="00C0564D"/>
    <w:rsid w:val="00C06C7E"/>
    <w:rsid w:val="00C07737"/>
    <w:rsid w:val="00C1123F"/>
    <w:rsid w:val="00C11414"/>
    <w:rsid w:val="00C11E95"/>
    <w:rsid w:val="00C14406"/>
    <w:rsid w:val="00C14E37"/>
    <w:rsid w:val="00C14F08"/>
    <w:rsid w:val="00C15009"/>
    <w:rsid w:val="00C17F67"/>
    <w:rsid w:val="00C23A55"/>
    <w:rsid w:val="00C25C98"/>
    <w:rsid w:val="00C332E5"/>
    <w:rsid w:val="00C36300"/>
    <w:rsid w:val="00C4194C"/>
    <w:rsid w:val="00C42377"/>
    <w:rsid w:val="00C46D63"/>
    <w:rsid w:val="00C53087"/>
    <w:rsid w:val="00C530E3"/>
    <w:rsid w:val="00C615B9"/>
    <w:rsid w:val="00C650F8"/>
    <w:rsid w:val="00C66844"/>
    <w:rsid w:val="00C719F7"/>
    <w:rsid w:val="00C823F4"/>
    <w:rsid w:val="00C83288"/>
    <w:rsid w:val="00C84B39"/>
    <w:rsid w:val="00C855CC"/>
    <w:rsid w:val="00C85EEB"/>
    <w:rsid w:val="00C9038B"/>
    <w:rsid w:val="00C91937"/>
    <w:rsid w:val="00C9212A"/>
    <w:rsid w:val="00C93C11"/>
    <w:rsid w:val="00CA1E2E"/>
    <w:rsid w:val="00CA3A67"/>
    <w:rsid w:val="00CA3DDD"/>
    <w:rsid w:val="00CB1220"/>
    <w:rsid w:val="00CC0995"/>
    <w:rsid w:val="00CC135D"/>
    <w:rsid w:val="00CC1E60"/>
    <w:rsid w:val="00CD65BE"/>
    <w:rsid w:val="00CE0572"/>
    <w:rsid w:val="00CE12EE"/>
    <w:rsid w:val="00CE1F81"/>
    <w:rsid w:val="00CF0238"/>
    <w:rsid w:val="00D017F3"/>
    <w:rsid w:val="00D06097"/>
    <w:rsid w:val="00D157AE"/>
    <w:rsid w:val="00D1629F"/>
    <w:rsid w:val="00D17E6C"/>
    <w:rsid w:val="00D20049"/>
    <w:rsid w:val="00D31C26"/>
    <w:rsid w:val="00D32318"/>
    <w:rsid w:val="00D41863"/>
    <w:rsid w:val="00D43C2A"/>
    <w:rsid w:val="00D4516E"/>
    <w:rsid w:val="00D4593F"/>
    <w:rsid w:val="00D45F67"/>
    <w:rsid w:val="00D72B07"/>
    <w:rsid w:val="00D772D9"/>
    <w:rsid w:val="00D859FE"/>
    <w:rsid w:val="00D9081B"/>
    <w:rsid w:val="00D94750"/>
    <w:rsid w:val="00DA1936"/>
    <w:rsid w:val="00DC2DDC"/>
    <w:rsid w:val="00DD45D4"/>
    <w:rsid w:val="00DE04CA"/>
    <w:rsid w:val="00DE2BBF"/>
    <w:rsid w:val="00DE6434"/>
    <w:rsid w:val="00DE6BEE"/>
    <w:rsid w:val="00DF1587"/>
    <w:rsid w:val="00DF7164"/>
    <w:rsid w:val="00E13B91"/>
    <w:rsid w:val="00E20304"/>
    <w:rsid w:val="00E21C21"/>
    <w:rsid w:val="00E325E5"/>
    <w:rsid w:val="00E35E60"/>
    <w:rsid w:val="00E42510"/>
    <w:rsid w:val="00E428A4"/>
    <w:rsid w:val="00E50989"/>
    <w:rsid w:val="00E51875"/>
    <w:rsid w:val="00E51CE1"/>
    <w:rsid w:val="00E61CAC"/>
    <w:rsid w:val="00E6619A"/>
    <w:rsid w:val="00E712A9"/>
    <w:rsid w:val="00E745D0"/>
    <w:rsid w:val="00E756BA"/>
    <w:rsid w:val="00E76E5A"/>
    <w:rsid w:val="00E80FFD"/>
    <w:rsid w:val="00E82084"/>
    <w:rsid w:val="00E90BA1"/>
    <w:rsid w:val="00E90F12"/>
    <w:rsid w:val="00E93AC4"/>
    <w:rsid w:val="00E94714"/>
    <w:rsid w:val="00E948A8"/>
    <w:rsid w:val="00E96C7E"/>
    <w:rsid w:val="00EA0338"/>
    <w:rsid w:val="00EA0B81"/>
    <w:rsid w:val="00EA593D"/>
    <w:rsid w:val="00EB3359"/>
    <w:rsid w:val="00EB3B5C"/>
    <w:rsid w:val="00EB4842"/>
    <w:rsid w:val="00EC11A3"/>
    <w:rsid w:val="00EC7A4E"/>
    <w:rsid w:val="00ED5277"/>
    <w:rsid w:val="00EE528A"/>
    <w:rsid w:val="00EF052B"/>
    <w:rsid w:val="00EF1081"/>
    <w:rsid w:val="00EF6711"/>
    <w:rsid w:val="00F04EBB"/>
    <w:rsid w:val="00F07329"/>
    <w:rsid w:val="00F07F1E"/>
    <w:rsid w:val="00F12DC7"/>
    <w:rsid w:val="00F135F2"/>
    <w:rsid w:val="00F137E5"/>
    <w:rsid w:val="00F1685F"/>
    <w:rsid w:val="00F37A04"/>
    <w:rsid w:val="00F42F00"/>
    <w:rsid w:val="00F44712"/>
    <w:rsid w:val="00F50F5E"/>
    <w:rsid w:val="00F5172A"/>
    <w:rsid w:val="00F5392E"/>
    <w:rsid w:val="00F61B9D"/>
    <w:rsid w:val="00F67685"/>
    <w:rsid w:val="00F7479D"/>
    <w:rsid w:val="00F74A77"/>
    <w:rsid w:val="00F86312"/>
    <w:rsid w:val="00F93DF4"/>
    <w:rsid w:val="00F9486C"/>
    <w:rsid w:val="00F95A0F"/>
    <w:rsid w:val="00FA1273"/>
    <w:rsid w:val="00FA225C"/>
    <w:rsid w:val="00FB1D22"/>
    <w:rsid w:val="00FB21E0"/>
    <w:rsid w:val="00FB53FF"/>
    <w:rsid w:val="00FC3F88"/>
    <w:rsid w:val="00FC4374"/>
    <w:rsid w:val="00FD7338"/>
    <w:rsid w:val="00FE0078"/>
    <w:rsid w:val="00FE06BF"/>
    <w:rsid w:val="00FF5C68"/>
    <w:rsid w:val="00FF6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 w:type="paragraph" w:styleId="NoSpacing">
    <w:name w:val="No Spacing"/>
    <w:uiPriority w:val="1"/>
    <w:qFormat/>
    <w:rsid w:val="00BE56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semiHidden/>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semiHidden/>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 w:type="paragraph" w:styleId="NoSpacing">
    <w:name w:val="No Spacing"/>
    <w:uiPriority w:val="1"/>
    <w:qFormat/>
    <w:rsid w:val="00BE5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1049376414">
      <w:bodyDiv w:val="1"/>
      <w:marLeft w:val="0"/>
      <w:marRight w:val="0"/>
      <w:marTop w:val="0"/>
      <w:marBottom w:val="0"/>
      <w:divBdr>
        <w:top w:val="none" w:sz="0" w:space="0" w:color="auto"/>
        <w:left w:val="none" w:sz="0" w:space="0" w:color="auto"/>
        <w:bottom w:val="none" w:sz="0" w:space="0" w:color="auto"/>
        <w:right w:val="none" w:sz="0" w:space="0" w:color="auto"/>
      </w:divBdr>
      <w:divsChild>
        <w:div w:id="1818955962">
          <w:marLeft w:val="0"/>
          <w:marRight w:val="0"/>
          <w:marTop w:val="0"/>
          <w:marBottom w:val="0"/>
          <w:divBdr>
            <w:top w:val="none" w:sz="0" w:space="0" w:color="auto"/>
            <w:left w:val="none" w:sz="0" w:space="0" w:color="auto"/>
            <w:bottom w:val="none" w:sz="0" w:space="0" w:color="auto"/>
            <w:right w:val="none" w:sz="0" w:space="0" w:color="auto"/>
          </w:divBdr>
        </w:div>
      </w:divsChild>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747612430">
      <w:bodyDiv w:val="1"/>
      <w:marLeft w:val="0"/>
      <w:marRight w:val="0"/>
      <w:marTop w:val="0"/>
      <w:marBottom w:val="0"/>
      <w:divBdr>
        <w:top w:val="none" w:sz="0" w:space="0" w:color="auto"/>
        <w:left w:val="none" w:sz="0" w:space="0" w:color="auto"/>
        <w:bottom w:val="none" w:sz="0" w:space="0" w:color="auto"/>
        <w:right w:val="none" w:sz="0" w:space="0" w:color="auto"/>
      </w:divBdr>
      <w:divsChild>
        <w:div w:id="1485926023">
          <w:marLeft w:val="0"/>
          <w:marRight w:val="0"/>
          <w:marTop w:val="0"/>
          <w:marBottom w:val="0"/>
          <w:divBdr>
            <w:top w:val="none" w:sz="0" w:space="0" w:color="auto"/>
            <w:left w:val="none" w:sz="0" w:space="0" w:color="auto"/>
            <w:bottom w:val="none" w:sz="0" w:space="0" w:color="auto"/>
            <w:right w:val="none" w:sz="0" w:space="0" w:color="auto"/>
          </w:divBdr>
        </w:div>
      </w:divsChild>
    </w:div>
    <w:div w:id="1791171081">
      <w:bodyDiv w:val="1"/>
      <w:marLeft w:val="0"/>
      <w:marRight w:val="0"/>
      <w:marTop w:val="0"/>
      <w:marBottom w:val="0"/>
      <w:divBdr>
        <w:top w:val="none" w:sz="0" w:space="0" w:color="auto"/>
        <w:left w:val="none" w:sz="0" w:space="0" w:color="auto"/>
        <w:bottom w:val="none" w:sz="0" w:space="0" w:color="auto"/>
        <w:right w:val="none" w:sz="0" w:space="0" w:color="auto"/>
      </w:divBdr>
      <w:divsChild>
        <w:div w:id="1660571060">
          <w:marLeft w:val="0"/>
          <w:marRight w:val="0"/>
          <w:marTop w:val="0"/>
          <w:marBottom w:val="0"/>
          <w:divBdr>
            <w:top w:val="none" w:sz="0" w:space="0" w:color="auto"/>
            <w:left w:val="none" w:sz="0" w:space="0" w:color="auto"/>
            <w:bottom w:val="none" w:sz="0" w:space="0" w:color="auto"/>
            <w:right w:val="none" w:sz="0" w:space="0" w:color="auto"/>
          </w:divBdr>
        </w:div>
        <w:div w:id="116800476">
          <w:marLeft w:val="0"/>
          <w:marRight w:val="0"/>
          <w:marTop w:val="0"/>
          <w:marBottom w:val="0"/>
          <w:divBdr>
            <w:top w:val="none" w:sz="0" w:space="0" w:color="auto"/>
            <w:left w:val="none" w:sz="0" w:space="0" w:color="auto"/>
            <w:bottom w:val="none" w:sz="0" w:space="0" w:color="auto"/>
            <w:right w:val="none" w:sz="0" w:space="0" w:color="auto"/>
          </w:divBdr>
        </w:div>
        <w:div w:id="161433641">
          <w:marLeft w:val="0"/>
          <w:marRight w:val="0"/>
          <w:marTop w:val="0"/>
          <w:marBottom w:val="0"/>
          <w:divBdr>
            <w:top w:val="none" w:sz="0" w:space="0" w:color="auto"/>
            <w:left w:val="none" w:sz="0" w:space="0" w:color="auto"/>
            <w:bottom w:val="none" w:sz="0" w:space="0" w:color="auto"/>
            <w:right w:val="none" w:sz="0" w:space="0" w:color="auto"/>
          </w:divBdr>
        </w:div>
      </w:divsChild>
    </w:div>
    <w:div w:id="1828015622">
      <w:bodyDiv w:val="1"/>
      <w:marLeft w:val="0"/>
      <w:marRight w:val="0"/>
      <w:marTop w:val="0"/>
      <w:marBottom w:val="0"/>
      <w:divBdr>
        <w:top w:val="none" w:sz="0" w:space="0" w:color="auto"/>
        <w:left w:val="none" w:sz="0" w:space="0" w:color="auto"/>
        <w:bottom w:val="none" w:sz="0" w:space="0" w:color="auto"/>
        <w:right w:val="none" w:sz="0" w:space="0" w:color="auto"/>
      </w:divBdr>
      <w:divsChild>
        <w:div w:id="763958374">
          <w:marLeft w:val="0"/>
          <w:marRight w:val="0"/>
          <w:marTop w:val="0"/>
          <w:marBottom w:val="0"/>
          <w:divBdr>
            <w:top w:val="none" w:sz="0" w:space="0" w:color="auto"/>
            <w:left w:val="none" w:sz="0" w:space="0" w:color="auto"/>
            <w:bottom w:val="none" w:sz="0" w:space="0" w:color="auto"/>
            <w:right w:val="none" w:sz="0" w:space="0" w:color="auto"/>
          </w:divBdr>
        </w:div>
        <w:div w:id="374278820">
          <w:marLeft w:val="0"/>
          <w:marRight w:val="0"/>
          <w:marTop w:val="0"/>
          <w:marBottom w:val="0"/>
          <w:divBdr>
            <w:top w:val="none" w:sz="0" w:space="0" w:color="auto"/>
            <w:left w:val="none" w:sz="0" w:space="0" w:color="auto"/>
            <w:bottom w:val="none" w:sz="0" w:space="0" w:color="auto"/>
            <w:right w:val="none" w:sz="0" w:space="0" w:color="auto"/>
          </w:divBdr>
        </w:div>
        <w:div w:id="1296522920">
          <w:marLeft w:val="0"/>
          <w:marRight w:val="0"/>
          <w:marTop w:val="0"/>
          <w:marBottom w:val="0"/>
          <w:divBdr>
            <w:top w:val="none" w:sz="0" w:space="0" w:color="auto"/>
            <w:left w:val="none" w:sz="0" w:space="0" w:color="auto"/>
            <w:bottom w:val="none" w:sz="0" w:space="0" w:color="auto"/>
            <w:right w:val="none" w:sz="0" w:space="0" w:color="auto"/>
          </w:divBdr>
        </w:div>
        <w:div w:id="2101440343">
          <w:marLeft w:val="0"/>
          <w:marRight w:val="0"/>
          <w:marTop w:val="0"/>
          <w:marBottom w:val="0"/>
          <w:divBdr>
            <w:top w:val="none" w:sz="0" w:space="0" w:color="auto"/>
            <w:left w:val="none" w:sz="0" w:space="0" w:color="auto"/>
            <w:bottom w:val="none" w:sz="0" w:space="0" w:color="auto"/>
            <w:right w:val="none" w:sz="0" w:space="0" w:color="auto"/>
          </w:divBdr>
        </w:div>
        <w:div w:id="2114937876">
          <w:marLeft w:val="0"/>
          <w:marRight w:val="0"/>
          <w:marTop w:val="0"/>
          <w:marBottom w:val="0"/>
          <w:divBdr>
            <w:top w:val="none" w:sz="0" w:space="0" w:color="auto"/>
            <w:left w:val="none" w:sz="0" w:space="0" w:color="auto"/>
            <w:bottom w:val="none" w:sz="0" w:space="0" w:color="auto"/>
            <w:right w:val="none" w:sz="0" w:space="0" w:color="auto"/>
          </w:divBdr>
        </w:div>
        <w:div w:id="132212519">
          <w:marLeft w:val="0"/>
          <w:marRight w:val="0"/>
          <w:marTop w:val="0"/>
          <w:marBottom w:val="0"/>
          <w:divBdr>
            <w:top w:val="none" w:sz="0" w:space="0" w:color="auto"/>
            <w:left w:val="none" w:sz="0" w:space="0" w:color="auto"/>
            <w:bottom w:val="none" w:sz="0" w:space="0" w:color="auto"/>
            <w:right w:val="none" w:sz="0" w:space="0" w:color="auto"/>
          </w:divBdr>
        </w:div>
        <w:div w:id="1759716060">
          <w:marLeft w:val="0"/>
          <w:marRight w:val="0"/>
          <w:marTop w:val="0"/>
          <w:marBottom w:val="0"/>
          <w:divBdr>
            <w:top w:val="none" w:sz="0" w:space="0" w:color="auto"/>
            <w:left w:val="none" w:sz="0" w:space="0" w:color="auto"/>
            <w:bottom w:val="none" w:sz="0" w:space="0" w:color="auto"/>
            <w:right w:val="none" w:sz="0" w:space="0" w:color="auto"/>
          </w:divBdr>
        </w:div>
      </w:divsChild>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 w:id="1931696709">
      <w:bodyDiv w:val="1"/>
      <w:marLeft w:val="0"/>
      <w:marRight w:val="0"/>
      <w:marTop w:val="0"/>
      <w:marBottom w:val="0"/>
      <w:divBdr>
        <w:top w:val="none" w:sz="0" w:space="0" w:color="auto"/>
        <w:left w:val="none" w:sz="0" w:space="0" w:color="auto"/>
        <w:bottom w:val="none" w:sz="0" w:space="0" w:color="auto"/>
        <w:right w:val="none" w:sz="0" w:space="0" w:color="auto"/>
      </w:divBdr>
      <w:divsChild>
        <w:div w:id="1892419287">
          <w:marLeft w:val="0"/>
          <w:marRight w:val="0"/>
          <w:marTop w:val="0"/>
          <w:marBottom w:val="0"/>
          <w:divBdr>
            <w:top w:val="none" w:sz="0" w:space="0" w:color="auto"/>
            <w:left w:val="none" w:sz="0" w:space="0" w:color="auto"/>
            <w:bottom w:val="none" w:sz="0" w:space="0" w:color="auto"/>
            <w:right w:val="none" w:sz="0" w:space="0" w:color="auto"/>
          </w:divBdr>
        </w:div>
      </w:divsChild>
    </w:div>
    <w:div w:id="20490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engineered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suthers@steini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uce.cage@trelleborg.com" TargetMode="External"/><Relationship Id="rId4" Type="http://schemas.microsoft.com/office/2007/relationships/stylesWithEffects" Target="stylesWithEffects.xml"/><Relationship Id="rId9" Type="http://schemas.openxmlformats.org/officeDocument/2006/relationships/hyperlink" Target="http://www.trelleborg.com/en/engineered-products/Products--and--Solutions/Mill--Lining--Systemshttp:/www.trelleborg.com/en/Hercu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05CF-5FE0-4BD4-A6BA-6951EB9B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Poyser</dc:creator>
  <cp:lastModifiedBy>Sarah Muckle</cp:lastModifiedBy>
  <cp:revision>2</cp:revision>
  <cp:lastPrinted>2015-11-06T17:01:00Z</cp:lastPrinted>
  <dcterms:created xsi:type="dcterms:W3CDTF">2015-11-06T17:32:00Z</dcterms:created>
  <dcterms:modified xsi:type="dcterms:W3CDTF">2015-11-06T17:32:00Z</dcterms:modified>
</cp:coreProperties>
</file>