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6C16E" w14:textId="2E8145DA" w:rsidR="00A07BEE" w:rsidRPr="002D62B8" w:rsidRDefault="00A07BEE" w:rsidP="00A07BEE">
      <w:pPr>
        <w:shd w:val="clear" w:color="auto" w:fill="FFFFFF" w:themeFill="background1"/>
        <w:spacing w:after="120" w:line="240" w:lineRule="auto"/>
        <w:rPr>
          <w:rFonts w:ascii="Arial" w:hAnsi="Arial" w:cs="Arial"/>
          <w:sz w:val="24"/>
          <w:szCs w:val="24"/>
          <w:lang w:val="fi-FI"/>
        </w:rPr>
      </w:pPr>
      <w:bookmarkStart w:id="0" w:name="_GoBack"/>
      <w:bookmarkEnd w:id="0"/>
      <w:r w:rsidRPr="002D62B8">
        <w:rPr>
          <w:rFonts w:ascii="Arial" w:hAnsi="Arial" w:cs="Arial"/>
          <w:sz w:val="24"/>
          <w:szCs w:val="24"/>
          <w:lang w:val="fi-FI"/>
        </w:rPr>
        <w:t>OTC Asia</w:t>
      </w:r>
    </w:p>
    <w:p w14:paraId="7B877F16" w14:textId="27E87297" w:rsidR="00A07BEE" w:rsidRPr="002D62B8" w:rsidRDefault="00A07BEE" w:rsidP="00A07BEE">
      <w:pPr>
        <w:shd w:val="clear" w:color="auto" w:fill="FFFFFF" w:themeFill="background1"/>
        <w:spacing w:after="120" w:line="240" w:lineRule="auto"/>
        <w:rPr>
          <w:rFonts w:ascii="Arial" w:hAnsi="Arial" w:cs="Arial"/>
          <w:sz w:val="24"/>
          <w:szCs w:val="24"/>
          <w:lang w:val="fi-FI"/>
        </w:rPr>
      </w:pPr>
      <w:r w:rsidRPr="002D62B8">
        <w:rPr>
          <w:rFonts w:ascii="Arial" w:hAnsi="Arial" w:cs="Arial"/>
          <w:sz w:val="24"/>
          <w:szCs w:val="24"/>
          <w:lang w:val="fi-FI"/>
        </w:rPr>
        <w:t>March 20 – 23, 2018</w:t>
      </w:r>
      <w:r w:rsidRPr="002D62B8">
        <w:rPr>
          <w:rFonts w:ascii="Arial" w:hAnsi="Arial" w:cs="Arial"/>
          <w:sz w:val="24"/>
          <w:szCs w:val="24"/>
          <w:lang w:val="fi-FI"/>
        </w:rPr>
        <w:tab/>
      </w:r>
    </w:p>
    <w:p w14:paraId="18235EF0" w14:textId="3A41FFBE" w:rsidR="00A07BEE" w:rsidRPr="002D62B8" w:rsidRDefault="00A07BEE" w:rsidP="00A07BEE">
      <w:pPr>
        <w:shd w:val="clear" w:color="auto" w:fill="FFFFFF" w:themeFill="background1"/>
        <w:spacing w:after="120" w:line="240" w:lineRule="auto"/>
        <w:rPr>
          <w:rFonts w:ascii="Arial" w:hAnsi="Arial" w:cs="Arial"/>
          <w:sz w:val="24"/>
          <w:szCs w:val="24"/>
          <w:lang w:val="fi-FI"/>
        </w:rPr>
      </w:pPr>
      <w:r w:rsidRPr="002D62B8">
        <w:rPr>
          <w:rFonts w:ascii="Arial" w:hAnsi="Arial" w:cs="Arial"/>
          <w:sz w:val="24"/>
          <w:szCs w:val="24"/>
          <w:lang w:val="fi-FI"/>
        </w:rPr>
        <w:t>Kuala Lumpur, Malaysia</w:t>
      </w:r>
    </w:p>
    <w:p w14:paraId="7DD3057A" w14:textId="5DBF9066" w:rsidR="00A07BEE" w:rsidRPr="001628CE" w:rsidRDefault="00A07BEE" w:rsidP="00A07BEE">
      <w:pPr>
        <w:shd w:val="clear" w:color="auto" w:fill="FFFFFF" w:themeFill="background1"/>
        <w:spacing w:after="120" w:line="240" w:lineRule="auto"/>
        <w:rPr>
          <w:rFonts w:ascii="Arial" w:hAnsi="Arial" w:cs="Arial"/>
          <w:sz w:val="24"/>
          <w:szCs w:val="24"/>
        </w:rPr>
      </w:pPr>
      <w:r w:rsidRPr="001628CE">
        <w:rPr>
          <w:rFonts w:ascii="Arial" w:hAnsi="Arial" w:cs="Arial"/>
          <w:sz w:val="24"/>
          <w:szCs w:val="24"/>
        </w:rPr>
        <w:t>Stand No.: Hall: 4 Stand: E411</w:t>
      </w:r>
    </w:p>
    <w:p w14:paraId="541A17B6" w14:textId="03734EAF" w:rsidR="00644075" w:rsidRPr="001628CE" w:rsidRDefault="00AC3559" w:rsidP="00D51A5B">
      <w:pPr>
        <w:shd w:val="clear" w:color="auto" w:fill="FFFFFF" w:themeFill="background1"/>
        <w:spacing w:after="120" w:line="360" w:lineRule="auto"/>
        <w:jc w:val="right"/>
        <w:rPr>
          <w:rFonts w:ascii="Arial" w:hAnsi="Arial" w:cs="Arial"/>
          <w:b/>
          <w:sz w:val="24"/>
          <w:szCs w:val="24"/>
        </w:rPr>
      </w:pPr>
      <w:r w:rsidRPr="001628CE">
        <w:rPr>
          <w:rFonts w:ascii="Arial" w:hAnsi="Arial" w:cs="Arial"/>
          <w:b/>
          <w:sz w:val="24"/>
          <w:szCs w:val="24"/>
        </w:rPr>
        <w:t xml:space="preserve"> </w:t>
      </w:r>
      <w:r w:rsidR="00A07BEE" w:rsidRPr="001628CE">
        <w:rPr>
          <w:rFonts w:ascii="Arial" w:hAnsi="Arial" w:cs="Arial"/>
          <w:b/>
          <w:sz w:val="24"/>
          <w:szCs w:val="24"/>
        </w:rPr>
        <w:t>March</w:t>
      </w:r>
      <w:r w:rsidRPr="001628CE">
        <w:rPr>
          <w:rFonts w:ascii="Arial" w:hAnsi="Arial" w:cs="Arial"/>
          <w:b/>
          <w:sz w:val="24"/>
          <w:szCs w:val="24"/>
        </w:rPr>
        <w:t xml:space="preserve"> 2018</w:t>
      </w:r>
    </w:p>
    <w:p w14:paraId="3F12BC8B" w14:textId="1FA3EF0D" w:rsidR="0024566B" w:rsidRPr="001628CE" w:rsidRDefault="00A07BEE" w:rsidP="00E47FBE">
      <w:pPr>
        <w:shd w:val="clear" w:color="auto" w:fill="FFFFFF" w:themeFill="background1"/>
        <w:spacing w:after="0" w:line="360" w:lineRule="auto"/>
        <w:rPr>
          <w:rFonts w:ascii="Arial" w:hAnsi="Arial" w:cs="Arial"/>
          <w:b/>
          <w:sz w:val="24"/>
          <w:szCs w:val="24"/>
        </w:rPr>
      </w:pPr>
      <w:r w:rsidRPr="001628CE">
        <w:rPr>
          <w:rFonts w:ascii="Arial" w:hAnsi="Arial" w:cs="Arial"/>
          <w:b/>
          <w:sz w:val="24"/>
          <w:szCs w:val="24"/>
        </w:rPr>
        <w:t>Trelleborg Showcases Innovative Solutions from Surface to Seafloor at OTC Asia</w:t>
      </w:r>
    </w:p>
    <w:p w14:paraId="30513111" w14:textId="77777777" w:rsidR="00A07BEE" w:rsidRPr="001628CE" w:rsidRDefault="00A07BEE" w:rsidP="00E47FBE">
      <w:pPr>
        <w:shd w:val="clear" w:color="auto" w:fill="FFFFFF" w:themeFill="background1"/>
        <w:spacing w:after="0" w:line="360" w:lineRule="auto"/>
        <w:rPr>
          <w:rFonts w:ascii="Arial" w:hAnsi="Arial" w:cs="Arial"/>
          <w:sz w:val="24"/>
          <w:szCs w:val="24"/>
        </w:rPr>
      </w:pPr>
    </w:p>
    <w:p w14:paraId="0A812621" w14:textId="7B56B1DE" w:rsidR="00A07BEE" w:rsidRPr="001628CE" w:rsidRDefault="00A07BEE" w:rsidP="00A07BEE">
      <w:pPr>
        <w:shd w:val="clear" w:color="auto" w:fill="FFFFFF" w:themeFill="background1"/>
        <w:spacing w:after="0" w:line="360" w:lineRule="auto"/>
        <w:rPr>
          <w:rFonts w:ascii="Arial" w:hAnsi="Arial" w:cs="Arial"/>
          <w:sz w:val="24"/>
          <w:szCs w:val="24"/>
        </w:rPr>
      </w:pPr>
      <w:r w:rsidRPr="001628CE">
        <w:rPr>
          <w:rFonts w:ascii="Arial" w:hAnsi="Arial" w:cs="Arial"/>
          <w:sz w:val="24"/>
          <w:szCs w:val="24"/>
        </w:rPr>
        <w:t xml:space="preserve">Trelleborg’s offshore operation will showcase its innovative range of </w:t>
      </w:r>
      <w:r w:rsidRPr="00C41B66">
        <w:rPr>
          <w:rFonts w:ascii="Arial" w:hAnsi="Arial" w:cs="Arial"/>
          <w:noProof/>
          <w:sz w:val="24"/>
          <w:szCs w:val="24"/>
        </w:rPr>
        <w:t>high</w:t>
      </w:r>
      <w:r w:rsidR="00C41B66">
        <w:rPr>
          <w:rFonts w:ascii="Arial" w:hAnsi="Arial" w:cs="Arial"/>
          <w:noProof/>
          <w:sz w:val="24"/>
          <w:szCs w:val="24"/>
        </w:rPr>
        <w:t>-</w:t>
      </w:r>
      <w:r w:rsidRPr="00C41B66">
        <w:rPr>
          <w:rFonts w:ascii="Arial" w:hAnsi="Arial" w:cs="Arial"/>
          <w:noProof/>
          <w:sz w:val="24"/>
          <w:szCs w:val="24"/>
        </w:rPr>
        <w:t>performance</w:t>
      </w:r>
      <w:r w:rsidRPr="001628CE">
        <w:rPr>
          <w:rFonts w:ascii="Arial" w:hAnsi="Arial" w:cs="Arial"/>
          <w:sz w:val="24"/>
          <w:szCs w:val="24"/>
        </w:rPr>
        <w:t xml:space="preserve"> solutions, from topside to subsea at the Offshore Technology Conference (OTC Asia) in Kuala Lump</w:t>
      </w:r>
      <w:r w:rsidR="00B56B5C">
        <w:rPr>
          <w:rFonts w:ascii="Arial" w:hAnsi="Arial" w:cs="Arial"/>
          <w:sz w:val="24"/>
          <w:szCs w:val="24"/>
        </w:rPr>
        <w:t>ur</w:t>
      </w:r>
      <w:r w:rsidRPr="001628CE">
        <w:rPr>
          <w:rFonts w:ascii="Arial" w:hAnsi="Arial" w:cs="Arial"/>
          <w:sz w:val="24"/>
          <w:szCs w:val="24"/>
        </w:rPr>
        <w:t xml:space="preserve">, Malaysia. Located in Hall 4 on stand E411, the company will present a number of advancements across its portfolio of </w:t>
      </w:r>
      <w:r w:rsidRPr="00C41B66">
        <w:rPr>
          <w:rFonts w:ascii="Arial" w:hAnsi="Arial" w:cs="Arial"/>
          <w:noProof/>
          <w:sz w:val="24"/>
          <w:szCs w:val="24"/>
        </w:rPr>
        <w:t>surface</w:t>
      </w:r>
      <w:r w:rsidRPr="001628CE">
        <w:rPr>
          <w:rFonts w:ascii="Arial" w:hAnsi="Arial" w:cs="Arial"/>
          <w:sz w:val="24"/>
          <w:szCs w:val="24"/>
        </w:rPr>
        <w:t xml:space="preserve"> to seafloor products, including Passive Fire Protection</w:t>
      </w:r>
      <w:r w:rsidR="00434440">
        <w:rPr>
          <w:rFonts w:ascii="Arial" w:hAnsi="Arial" w:cs="Arial"/>
          <w:sz w:val="24"/>
          <w:szCs w:val="24"/>
        </w:rPr>
        <w:t xml:space="preserve"> (</w:t>
      </w:r>
      <w:proofErr w:type="spellStart"/>
      <w:r w:rsidR="00434440">
        <w:rPr>
          <w:rFonts w:ascii="Arial" w:hAnsi="Arial" w:cs="Arial"/>
          <w:sz w:val="24"/>
          <w:szCs w:val="24"/>
        </w:rPr>
        <w:t>PFP</w:t>
      </w:r>
      <w:proofErr w:type="spellEnd"/>
      <w:r w:rsidR="00434440">
        <w:rPr>
          <w:rFonts w:ascii="Arial" w:hAnsi="Arial" w:cs="Arial"/>
          <w:sz w:val="24"/>
          <w:szCs w:val="24"/>
        </w:rPr>
        <w:t xml:space="preserve">) solutions and </w:t>
      </w:r>
      <w:r w:rsidRPr="001628CE">
        <w:rPr>
          <w:rFonts w:ascii="Arial" w:hAnsi="Arial" w:cs="Arial"/>
          <w:sz w:val="24"/>
          <w:szCs w:val="24"/>
        </w:rPr>
        <w:t xml:space="preserve">its </w:t>
      </w:r>
      <w:r w:rsidR="00434440">
        <w:rPr>
          <w:rFonts w:ascii="Arial" w:hAnsi="Arial" w:cs="Arial"/>
          <w:sz w:val="24"/>
          <w:szCs w:val="24"/>
        </w:rPr>
        <w:t xml:space="preserve">latest </w:t>
      </w:r>
      <w:r w:rsidRPr="001628CE">
        <w:rPr>
          <w:rFonts w:ascii="Arial" w:hAnsi="Arial" w:cs="Arial"/>
          <w:sz w:val="24"/>
          <w:szCs w:val="24"/>
        </w:rPr>
        <w:t>subsea b</w:t>
      </w:r>
      <w:r w:rsidR="00434440">
        <w:rPr>
          <w:rFonts w:ascii="Arial" w:hAnsi="Arial" w:cs="Arial"/>
          <w:sz w:val="24"/>
          <w:szCs w:val="24"/>
        </w:rPr>
        <w:t>uoyancy developments</w:t>
      </w:r>
      <w:r w:rsidRPr="001628CE">
        <w:rPr>
          <w:rFonts w:ascii="Arial" w:hAnsi="Arial" w:cs="Arial"/>
          <w:sz w:val="24"/>
          <w:szCs w:val="24"/>
        </w:rPr>
        <w:t>.</w:t>
      </w:r>
    </w:p>
    <w:p w14:paraId="3305F458" w14:textId="77777777" w:rsidR="00A07BEE" w:rsidRPr="001628CE" w:rsidRDefault="00A07BEE" w:rsidP="00A07BEE">
      <w:pPr>
        <w:shd w:val="clear" w:color="auto" w:fill="FFFFFF" w:themeFill="background1"/>
        <w:spacing w:after="0" w:line="360" w:lineRule="auto"/>
        <w:rPr>
          <w:rFonts w:ascii="Arial" w:hAnsi="Arial" w:cs="Arial"/>
          <w:sz w:val="24"/>
          <w:szCs w:val="24"/>
        </w:rPr>
      </w:pPr>
    </w:p>
    <w:p w14:paraId="36C73B4D" w14:textId="417D5A4E" w:rsidR="00A07BEE" w:rsidRPr="001628CE" w:rsidRDefault="001628CE" w:rsidP="00A07BEE">
      <w:pPr>
        <w:shd w:val="clear" w:color="auto" w:fill="FFFFFF" w:themeFill="background1"/>
        <w:spacing w:after="0" w:line="360" w:lineRule="auto"/>
        <w:rPr>
          <w:rFonts w:ascii="Arial" w:hAnsi="Arial" w:cs="Arial"/>
          <w:sz w:val="24"/>
          <w:szCs w:val="24"/>
        </w:rPr>
      </w:pPr>
      <w:r w:rsidRPr="001628CE">
        <w:rPr>
          <w:rFonts w:ascii="Arial" w:hAnsi="Arial" w:cs="Arial"/>
          <w:sz w:val="24"/>
          <w:szCs w:val="24"/>
        </w:rPr>
        <w:t>Jan-Hugo Nilssen</w:t>
      </w:r>
      <w:r w:rsidR="00A07BEE" w:rsidRPr="001628CE">
        <w:rPr>
          <w:rFonts w:ascii="Arial" w:hAnsi="Arial" w:cs="Arial"/>
          <w:sz w:val="24"/>
          <w:szCs w:val="24"/>
        </w:rPr>
        <w:t xml:space="preserve">, </w:t>
      </w:r>
      <w:r w:rsidRPr="00C41B66">
        <w:rPr>
          <w:rFonts w:ascii="Arial" w:hAnsi="Arial" w:cs="Arial"/>
          <w:noProof/>
          <w:sz w:val="24"/>
          <w:szCs w:val="24"/>
        </w:rPr>
        <w:t>Sales</w:t>
      </w:r>
      <w:r w:rsidRPr="001628CE">
        <w:rPr>
          <w:rFonts w:ascii="Arial" w:hAnsi="Arial" w:cs="Arial"/>
          <w:sz w:val="24"/>
          <w:szCs w:val="24"/>
        </w:rPr>
        <w:t xml:space="preserve"> Manager</w:t>
      </w:r>
      <w:r w:rsidR="00A07BEE" w:rsidRPr="001628CE">
        <w:rPr>
          <w:rFonts w:ascii="Arial" w:hAnsi="Arial" w:cs="Arial"/>
          <w:sz w:val="24"/>
          <w:szCs w:val="24"/>
        </w:rPr>
        <w:t xml:space="preserve">, </w:t>
      </w:r>
      <w:r w:rsidR="00C0579F" w:rsidRPr="001628CE">
        <w:rPr>
          <w:rFonts w:ascii="Arial" w:hAnsi="Arial" w:cs="Arial"/>
          <w:sz w:val="24"/>
          <w:szCs w:val="24"/>
        </w:rPr>
        <w:t>states</w:t>
      </w:r>
      <w:r w:rsidR="00A07BEE" w:rsidRPr="001628CE">
        <w:rPr>
          <w:rFonts w:ascii="Arial" w:hAnsi="Arial" w:cs="Arial"/>
          <w:sz w:val="24"/>
          <w:szCs w:val="24"/>
        </w:rPr>
        <w:t xml:space="preserve">: “In offshore environments, fire safety is of the utmost importance, as the occurrence of fire can cause colossal amounts of damage and danger. On the </w:t>
      </w:r>
      <w:r w:rsidR="00A07BEE" w:rsidRPr="00C41B66">
        <w:rPr>
          <w:rFonts w:ascii="Arial" w:hAnsi="Arial" w:cs="Arial"/>
          <w:noProof/>
          <w:sz w:val="24"/>
          <w:szCs w:val="24"/>
        </w:rPr>
        <w:t>stand</w:t>
      </w:r>
      <w:r w:rsidR="00C41B66">
        <w:rPr>
          <w:rFonts w:ascii="Arial" w:hAnsi="Arial" w:cs="Arial"/>
          <w:noProof/>
          <w:sz w:val="24"/>
          <w:szCs w:val="24"/>
        </w:rPr>
        <w:t>,</w:t>
      </w:r>
      <w:r w:rsidR="00A07BEE" w:rsidRPr="001628CE">
        <w:rPr>
          <w:rFonts w:ascii="Arial" w:hAnsi="Arial" w:cs="Arial"/>
          <w:sz w:val="24"/>
          <w:szCs w:val="24"/>
        </w:rPr>
        <w:t xml:space="preserve"> my colleagues and I will discuss why rubber-based, non-metallic flexible deluge systems are the best solution for passive fire protection.</w:t>
      </w:r>
    </w:p>
    <w:p w14:paraId="52154C61" w14:textId="77777777" w:rsidR="00A07BEE" w:rsidRPr="001628CE" w:rsidRDefault="00A07BEE" w:rsidP="00A07BEE">
      <w:pPr>
        <w:shd w:val="clear" w:color="auto" w:fill="FFFFFF" w:themeFill="background1"/>
        <w:spacing w:after="0" w:line="360" w:lineRule="auto"/>
        <w:rPr>
          <w:rFonts w:ascii="Arial" w:hAnsi="Arial" w:cs="Arial"/>
          <w:sz w:val="24"/>
          <w:szCs w:val="24"/>
        </w:rPr>
      </w:pPr>
    </w:p>
    <w:p w14:paraId="143AD703" w14:textId="2A319C7D" w:rsidR="00A07BEE" w:rsidRPr="001628CE" w:rsidRDefault="00A07BEE" w:rsidP="00A07BEE">
      <w:pPr>
        <w:shd w:val="clear" w:color="auto" w:fill="FFFFFF" w:themeFill="background1"/>
        <w:spacing w:after="0" w:line="360" w:lineRule="auto"/>
        <w:rPr>
          <w:rFonts w:ascii="Arial" w:hAnsi="Arial" w:cs="Arial"/>
          <w:sz w:val="24"/>
          <w:szCs w:val="24"/>
        </w:rPr>
      </w:pPr>
      <w:r w:rsidRPr="001628CE">
        <w:rPr>
          <w:rFonts w:ascii="Arial" w:hAnsi="Arial" w:cs="Arial"/>
          <w:sz w:val="24"/>
          <w:szCs w:val="24"/>
        </w:rPr>
        <w:t>“All of our solutions are designed to meet the most stringent offshore requirements, offering the highest level of resistance against heat, abrasion</w:t>
      </w:r>
      <w:r w:rsidR="00C41B66">
        <w:rPr>
          <w:rFonts w:ascii="Arial" w:hAnsi="Arial" w:cs="Arial"/>
          <w:sz w:val="24"/>
          <w:szCs w:val="24"/>
        </w:rPr>
        <w:t>,</w:t>
      </w:r>
      <w:r w:rsidRPr="001628CE">
        <w:rPr>
          <w:rFonts w:ascii="Arial" w:hAnsi="Arial" w:cs="Arial"/>
          <w:sz w:val="24"/>
          <w:szCs w:val="24"/>
        </w:rPr>
        <w:t xml:space="preserve"> </w:t>
      </w:r>
      <w:r w:rsidRPr="00C41B66">
        <w:rPr>
          <w:rFonts w:ascii="Arial" w:hAnsi="Arial" w:cs="Arial"/>
          <w:noProof/>
          <w:sz w:val="24"/>
          <w:szCs w:val="24"/>
        </w:rPr>
        <w:t>and</w:t>
      </w:r>
      <w:r w:rsidRPr="001628CE">
        <w:rPr>
          <w:rFonts w:ascii="Arial" w:hAnsi="Arial" w:cs="Arial"/>
          <w:sz w:val="24"/>
          <w:szCs w:val="24"/>
        </w:rPr>
        <w:t xml:space="preserve"> environmental impact. We control our entire manufacturing process from end-to-end, providing our customers with transparency and peace of mind.” </w:t>
      </w:r>
    </w:p>
    <w:p w14:paraId="6D4F5CF6" w14:textId="77777777" w:rsidR="00434440" w:rsidRDefault="00434440" w:rsidP="00A07BEE">
      <w:pPr>
        <w:shd w:val="clear" w:color="auto" w:fill="FFFFFF" w:themeFill="background1"/>
        <w:spacing w:after="0" w:line="360" w:lineRule="auto"/>
        <w:rPr>
          <w:rFonts w:ascii="Arial" w:hAnsi="Arial" w:cs="Arial"/>
          <w:sz w:val="24"/>
          <w:szCs w:val="24"/>
        </w:rPr>
      </w:pPr>
    </w:p>
    <w:p w14:paraId="30573FFE" w14:textId="53DB4577" w:rsidR="00A07BEE" w:rsidRPr="001628CE" w:rsidRDefault="002D62B8" w:rsidP="00A07BEE">
      <w:pPr>
        <w:shd w:val="clear" w:color="auto" w:fill="FFFFFF" w:themeFill="background1"/>
        <w:spacing w:after="0" w:line="360" w:lineRule="auto"/>
        <w:rPr>
          <w:rFonts w:ascii="Arial" w:hAnsi="Arial" w:cs="Arial"/>
          <w:sz w:val="24"/>
          <w:szCs w:val="24"/>
        </w:rPr>
      </w:pPr>
      <w:r>
        <w:rPr>
          <w:rFonts w:ascii="Arial" w:hAnsi="Arial" w:cs="Arial"/>
          <w:sz w:val="24"/>
          <w:szCs w:val="24"/>
        </w:rPr>
        <w:t>D</w:t>
      </w:r>
      <w:r w:rsidR="00A07BEE" w:rsidRPr="001628CE">
        <w:rPr>
          <w:rFonts w:ascii="Arial" w:hAnsi="Arial" w:cs="Arial"/>
          <w:sz w:val="24"/>
          <w:szCs w:val="24"/>
        </w:rPr>
        <w:t xml:space="preserve">elegates will get the opportunity to meet with Trelleborg subsea experts to discuss the importance of choosing the correct buoyancy option for flexible and static flowlines, as well as its proven manufacturing techniques that produce finished modular geometry, optimizing processing costs and lead times. The operation will also showcase </w:t>
      </w:r>
      <w:r w:rsidR="00434440">
        <w:rPr>
          <w:rFonts w:ascii="Arial" w:hAnsi="Arial" w:cs="Arial"/>
          <w:sz w:val="24"/>
          <w:szCs w:val="24"/>
        </w:rPr>
        <w:t>its</w:t>
      </w:r>
      <w:r w:rsidR="00A07BEE" w:rsidRPr="001628CE">
        <w:rPr>
          <w:rFonts w:ascii="Arial" w:hAnsi="Arial" w:cs="Arial"/>
          <w:sz w:val="24"/>
          <w:szCs w:val="24"/>
        </w:rPr>
        <w:t xml:space="preserve"> range of thermal insulation</w:t>
      </w:r>
      <w:r w:rsidR="00434440">
        <w:rPr>
          <w:rFonts w:ascii="Arial" w:hAnsi="Arial" w:cs="Arial"/>
          <w:sz w:val="24"/>
          <w:szCs w:val="24"/>
        </w:rPr>
        <w:t xml:space="preserve"> materials.</w:t>
      </w:r>
    </w:p>
    <w:p w14:paraId="1E3ECC11" w14:textId="77777777" w:rsidR="00A07BEE" w:rsidRPr="001628CE" w:rsidRDefault="00A07BEE" w:rsidP="00A07BEE">
      <w:pPr>
        <w:shd w:val="clear" w:color="auto" w:fill="FFFFFF" w:themeFill="background1"/>
        <w:spacing w:after="0" w:line="360" w:lineRule="auto"/>
        <w:rPr>
          <w:rFonts w:ascii="Arial" w:hAnsi="Arial" w:cs="Arial"/>
          <w:sz w:val="24"/>
          <w:szCs w:val="24"/>
        </w:rPr>
      </w:pPr>
    </w:p>
    <w:p w14:paraId="6A276504" w14:textId="76DF7434" w:rsidR="00A07BEE" w:rsidRPr="001628CE" w:rsidRDefault="00A07BEE" w:rsidP="00A07BEE">
      <w:pPr>
        <w:shd w:val="clear" w:color="auto" w:fill="FFFFFF" w:themeFill="background1"/>
        <w:spacing w:after="0" w:line="360" w:lineRule="auto"/>
        <w:rPr>
          <w:rFonts w:ascii="Arial" w:hAnsi="Arial" w:cs="Arial"/>
          <w:sz w:val="24"/>
          <w:szCs w:val="24"/>
        </w:rPr>
      </w:pPr>
      <w:r w:rsidRPr="001628CE">
        <w:rPr>
          <w:rFonts w:ascii="Arial" w:hAnsi="Arial" w:cs="Arial"/>
          <w:sz w:val="24"/>
          <w:szCs w:val="24"/>
        </w:rPr>
        <w:lastRenderedPageBreak/>
        <w:t xml:space="preserve">Ajan Das, Business Development Manager for Trelleborg’s offshore operation </w:t>
      </w:r>
      <w:r w:rsidR="00B56B5C" w:rsidRPr="00B56B5C">
        <w:rPr>
          <w:rFonts w:ascii="Arial" w:hAnsi="Arial" w:cs="Arial"/>
          <w:sz w:val="24"/>
          <w:szCs w:val="24"/>
          <w:lang w:val="en-GB"/>
        </w:rPr>
        <w:t xml:space="preserve">in South East Asia </w:t>
      </w:r>
      <w:r w:rsidRPr="001628CE">
        <w:rPr>
          <w:rFonts w:ascii="Arial" w:hAnsi="Arial" w:cs="Arial"/>
          <w:sz w:val="24"/>
          <w:szCs w:val="24"/>
        </w:rPr>
        <w:t xml:space="preserve">states: “OTC Asia is an important industry event and we look forward to discussing our latest developments in buoyancy </w:t>
      </w:r>
      <w:r w:rsidR="00C0579F" w:rsidRPr="001628CE">
        <w:rPr>
          <w:rFonts w:ascii="Arial" w:hAnsi="Arial" w:cs="Arial"/>
          <w:sz w:val="24"/>
          <w:szCs w:val="24"/>
        </w:rPr>
        <w:t>which include our newly developed standardized and modular buoyancy modules. These two solutions provide additional options to our customers who are seeking to reduce their overall project costs.</w:t>
      </w:r>
    </w:p>
    <w:p w14:paraId="045B372E" w14:textId="77777777" w:rsidR="00A07BEE" w:rsidRPr="001628CE" w:rsidRDefault="00A07BEE" w:rsidP="00A07BEE">
      <w:pPr>
        <w:shd w:val="clear" w:color="auto" w:fill="FFFFFF" w:themeFill="background1"/>
        <w:spacing w:after="0" w:line="360" w:lineRule="auto"/>
        <w:rPr>
          <w:rFonts w:ascii="Arial" w:hAnsi="Arial" w:cs="Arial"/>
          <w:sz w:val="24"/>
          <w:szCs w:val="24"/>
        </w:rPr>
      </w:pPr>
    </w:p>
    <w:p w14:paraId="69E05828" w14:textId="286CB10B" w:rsidR="00E47FBE" w:rsidRPr="001628CE" w:rsidRDefault="00A07BEE" w:rsidP="00A07BEE">
      <w:pPr>
        <w:shd w:val="clear" w:color="auto" w:fill="FFFFFF" w:themeFill="background1"/>
        <w:spacing w:after="0" w:line="360" w:lineRule="auto"/>
        <w:rPr>
          <w:rFonts w:ascii="Arial" w:hAnsi="Arial" w:cs="Arial"/>
          <w:sz w:val="24"/>
          <w:szCs w:val="24"/>
        </w:rPr>
      </w:pPr>
      <w:r w:rsidRPr="001628CE">
        <w:rPr>
          <w:rFonts w:ascii="Arial" w:hAnsi="Arial" w:cs="Arial"/>
          <w:sz w:val="24"/>
          <w:szCs w:val="24"/>
        </w:rPr>
        <w:t>“</w:t>
      </w:r>
      <w:r w:rsidR="00C0579F" w:rsidRPr="001628CE">
        <w:rPr>
          <w:rFonts w:ascii="Arial" w:hAnsi="Arial" w:cs="Arial"/>
          <w:sz w:val="24"/>
          <w:szCs w:val="24"/>
        </w:rPr>
        <w:t>This</w:t>
      </w:r>
      <w:r w:rsidRPr="001628CE">
        <w:rPr>
          <w:rFonts w:ascii="Arial" w:hAnsi="Arial" w:cs="Arial"/>
          <w:sz w:val="24"/>
          <w:szCs w:val="24"/>
        </w:rPr>
        <w:t xml:space="preserve"> exhibition provides the ideal platform for Trelleborg to highlight its solutions and expertise on demanding subsea applications directly to the people who can benefit from them most. We look forward to listening to the needs of industry professionals firsthand to gain insight into what they require now and in the future.”</w:t>
      </w:r>
    </w:p>
    <w:p w14:paraId="22EFD570" w14:textId="77777777" w:rsidR="00C0579F" w:rsidRPr="001628CE" w:rsidRDefault="00C0579F" w:rsidP="00A07BEE">
      <w:pPr>
        <w:shd w:val="clear" w:color="auto" w:fill="FFFFFF" w:themeFill="background1"/>
        <w:spacing w:after="0" w:line="360" w:lineRule="auto"/>
        <w:rPr>
          <w:rFonts w:ascii="Arial" w:hAnsi="Arial" w:cs="Arial"/>
          <w:sz w:val="24"/>
          <w:szCs w:val="24"/>
        </w:rPr>
      </w:pPr>
    </w:p>
    <w:p w14:paraId="65DBFCC8" w14:textId="670A2861" w:rsidR="00C0579F" w:rsidRPr="001628CE" w:rsidRDefault="00C0579F" w:rsidP="00A07BEE">
      <w:pPr>
        <w:shd w:val="clear" w:color="auto" w:fill="FFFFFF" w:themeFill="background1"/>
        <w:spacing w:after="0" w:line="360" w:lineRule="auto"/>
        <w:rPr>
          <w:rFonts w:ascii="Arial" w:hAnsi="Arial" w:cs="Arial"/>
          <w:b/>
          <w:sz w:val="24"/>
          <w:szCs w:val="24"/>
        </w:rPr>
      </w:pPr>
      <w:r w:rsidRPr="001628CE">
        <w:rPr>
          <w:rFonts w:ascii="Arial" w:hAnsi="Arial" w:cs="Arial"/>
          <w:b/>
          <w:sz w:val="24"/>
          <w:szCs w:val="24"/>
        </w:rPr>
        <w:t>On Stand Solutions</w:t>
      </w:r>
      <w:r w:rsidR="00D863A4" w:rsidRPr="001628CE">
        <w:rPr>
          <w:rFonts w:ascii="Arial" w:hAnsi="Arial" w:cs="Arial"/>
          <w:b/>
          <w:sz w:val="24"/>
          <w:szCs w:val="24"/>
        </w:rPr>
        <w:t xml:space="preserve"> at OTC Asia</w:t>
      </w:r>
    </w:p>
    <w:p w14:paraId="54CB0671" w14:textId="139B1491" w:rsidR="00C0579F" w:rsidRPr="001628CE" w:rsidRDefault="00C0579F" w:rsidP="00A07BEE">
      <w:pPr>
        <w:shd w:val="clear" w:color="auto" w:fill="FFFFFF" w:themeFill="background1"/>
        <w:spacing w:after="0" w:line="360" w:lineRule="auto"/>
        <w:rPr>
          <w:rFonts w:ascii="Arial" w:hAnsi="Arial" w:cs="Arial"/>
          <w:sz w:val="24"/>
          <w:szCs w:val="24"/>
        </w:rPr>
      </w:pPr>
      <w:proofErr w:type="spellStart"/>
      <w:r w:rsidRPr="001628CE">
        <w:rPr>
          <w:rFonts w:ascii="Arial" w:hAnsi="Arial" w:cs="Arial"/>
          <w:b/>
          <w:sz w:val="24"/>
          <w:szCs w:val="24"/>
        </w:rPr>
        <w:t>FireNut</w:t>
      </w:r>
      <w:proofErr w:type="spellEnd"/>
      <w:r w:rsidRPr="001628CE">
        <w:rPr>
          <w:rFonts w:ascii="Arial" w:hAnsi="Arial" w:cs="Arial"/>
          <w:b/>
          <w:sz w:val="24"/>
          <w:szCs w:val="24"/>
        </w:rPr>
        <w:t>™</w:t>
      </w:r>
      <w:r w:rsidRPr="001628CE">
        <w:rPr>
          <w:rFonts w:ascii="Arial" w:hAnsi="Arial" w:cs="Arial"/>
          <w:sz w:val="24"/>
          <w:szCs w:val="24"/>
        </w:rPr>
        <w:t xml:space="preserve"> is a </w:t>
      </w:r>
      <w:r w:rsidRPr="00C41B66">
        <w:rPr>
          <w:rFonts w:ascii="Arial" w:hAnsi="Arial" w:cs="Arial"/>
          <w:noProof/>
          <w:sz w:val="24"/>
          <w:szCs w:val="24"/>
        </w:rPr>
        <w:t>lightweight</w:t>
      </w:r>
      <w:r w:rsidRPr="001628CE">
        <w:rPr>
          <w:rFonts w:ascii="Arial" w:hAnsi="Arial" w:cs="Arial"/>
          <w:sz w:val="24"/>
          <w:szCs w:val="24"/>
        </w:rPr>
        <w:t xml:space="preserve">, easy to install protection </w:t>
      </w:r>
      <w:r w:rsidR="00931A12" w:rsidRPr="001628CE">
        <w:rPr>
          <w:rFonts w:ascii="Arial" w:hAnsi="Arial" w:cs="Arial"/>
          <w:sz w:val="24"/>
          <w:szCs w:val="24"/>
        </w:rPr>
        <w:t xml:space="preserve">for </w:t>
      </w:r>
      <w:r w:rsidRPr="001628CE">
        <w:rPr>
          <w:rFonts w:ascii="Arial" w:hAnsi="Arial" w:cs="Arial"/>
          <w:sz w:val="24"/>
          <w:szCs w:val="24"/>
        </w:rPr>
        <w:t>bolted connections or flanges on offshore installations. It specifically protects just the nuts of a bolted connection or flange, is easy to install and extends the service life in the event of a fire.</w:t>
      </w:r>
    </w:p>
    <w:p w14:paraId="21E24C58" w14:textId="28599ECB" w:rsidR="00C0579F" w:rsidRPr="001628CE" w:rsidRDefault="00C0579F" w:rsidP="00A07BEE">
      <w:pPr>
        <w:shd w:val="clear" w:color="auto" w:fill="FFFFFF" w:themeFill="background1"/>
        <w:spacing w:after="0" w:line="360" w:lineRule="auto"/>
        <w:rPr>
          <w:rFonts w:ascii="Arial" w:hAnsi="Arial" w:cs="Arial"/>
          <w:sz w:val="24"/>
          <w:szCs w:val="24"/>
        </w:rPr>
      </w:pPr>
      <w:proofErr w:type="spellStart"/>
      <w:r w:rsidRPr="001628CE">
        <w:rPr>
          <w:rFonts w:ascii="Arial" w:hAnsi="Arial" w:cs="Arial"/>
          <w:b/>
          <w:sz w:val="24"/>
          <w:szCs w:val="24"/>
        </w:rPr>
        <w:t>Vikodeck</w:t>
      </w:r>
      <w:proofErr w:type="spellEnd"/>
      <w:r w:rsidRPr="001628CE">
        <w:rPr>
          <w:rFonts w:ascii="Arial" w:hAnsi="Arial" w:cs="Arial"/>
          <w:b/>
          <w:sz w:val="24"/>
          <w:szCs w:val="24"/>
        </w:rPr>
        <w:t>™</w:t>
      </w:r>
      <w:r w:rsidRPr="001628CE">
        <w:rPr>
          <w:rFonts w:ascii="Arial" w:hAnsi="Arial" w:cs="Arial"/>
          <w:sz w:val="24"/>
          <w:szCs w:val="24"/>
        </w:rPr>
        <w:t xml:space="preserve"> is designed to offer surface protection against blast, jet and pool fire in harsh offshore oil and gas environments. It provides excellent corrosion protection and anti-fatigue dampening support for the comfort and safety of employees.</w:t>
      </w:r>
    </w:p>
    <w:p w14:paraId="37C287B5" w14:textId="0072B399" w:rsidR="00931A12" w:rsidRPr="001628CE" w:rsidRDefault="00931A12" w:rsidP="00A07BEE">
      <w:pPr>
        <w:shd w:val="clear" w:color="auto" w:fill="FFFFFF" w:themeFill="background1"/>
        <w:spacing w:after="0" w:line="360" w:lineRule="auto"/>
        <w:rPr>
          <w:rFonts w:ascii="Arial" w:hAnsi="Arial" w:cs="Arial"/>
          <w:sz w:val="24"/>
          <w:szCs w:val="24"/>
        </w:rPr>
      </w:pPr>
      <w:proofErr w:type="spellStart"/>
      <w:r w:rsidRPr="001628CE">
        <w:rPr>
          <w:rFonts w:ascii="Arial" w:hAnsi="Arial" w:cs="Arial"/>
          <w:b/>
          <w:sz w:val="24"/>
          <w:szCs w:val="24"/>
        </w:rPr>
        <w:t>Elastopipe</w:t>
      </w:r>
      <w:proofErr w:type="spellEnd"/>
      <w:r w:rsidRPr="001628CE">
        <w:rPr>
          <w:rFonts w:ascii="Arial" w:hAnsi="Arial" w:cs="Arial"/>
          <w:b/>
          <w:sz w:val="24"/>
          <w:szCs w:val="24"/>
        </w:rPr>
        <w:t>™</w:t>
      </w:r>
      <w:r w:rsidRPr="001628CE">
        <w:rPr>
          <w:rFonts w:ascii="Arial" w:hAnsi="Arial" w:cs="Arial"/>
          <w:sz w:val="24"/>
          <w:szCs w:val="24"/>
        </w:rPr>
        <w:t xml:space="preserve"> is a patented flexible piping system developed for transporting a variety of fluids and is the first corrosion-free, explosion, impact and jet fire resistant flexible piping system approved for offshore deluge systems. </w:t>
      </w:r>
    </w:p>
    <w:p w14:paraId="176C71E0" w14:textId="77777777" w:rsidR="00931A12" w:rsidRPr="001628CE" w:rsidRDefault="00931A12" w:rsidP="00A07BEE">
      <w:pPr>
        <w:shd w:val="clear" w:color="auto" w:fill="FFFFFF" w:themeFill="background1"/>
        <w:spacing w:after="0" w:line="360" w:lineRule="auto"/>
        <w:rPr>
          <w:rFonts w:ascii="Arial" w:hAnsi="Arial" w:cs="Arial"/>
          <w:sz w:val="24"/>
          <w:szCs w:val="24"/>
        </w:rPr>
      </w:pPr>
      <w:r w:rsidRPr="001628CE">
        <w:rPr>
          <w:rFonts w:ascii="Arial" w:hAnsi="Arial" w:cs="Arial"/>
          <w:b/>
          <w:sz w:val="24"/>
          <w:szCs w:val="24"/>
        </w:rPr>
        <w:t>Standardized Buoyancy Modules</w:t>
      </w:r>
      <w:r w:rsidRPr="001628CE">
        <w:rPr>
          <w:rFonts w:ascii="Arial" w:hAnsi="Arial" w:cs="Arial"/>
          <w:sz w:val="24"/>
          <w:szCs w:val="24"/>
        </w:rPr>
        <w:t xml:space="preserve"> are modular in design to allow smaller elements to be stacked together, enabling the customer to customize uplift requirements as specified as needed for each project. </w:t>
      </w:r>
    </w:p>
    <w:p w14:paraId="570FD332" w14:textId="36596DA6" w:rsidR="00C0579F" w:rsidRPr="001628CE" w:rsidRDefault="00C0579F" w:rsidP="00A07BEE">
      <w:pPr>
        <w:shd w:val="clear" w:color="auto" w:fill="FFFFFF" w:themeFill="background1"/>
        <w:spacing w:after="0" w:line="360" w:lineRule="auto"/>
        <w:rPr>
          <w:rFonts w:ascii="Arial" w:hAnsi="Arial" w:cs="Arial"/>
          <w:sz w:val="24"/>
          <w:szCs w:val="24"/>
        </w:rPr>
      </w:pPr>
      <w:r w:rsidRPr="001628CE">
        <w:rPr>
          <w:rFonts w:ascii="Arial" w:hAnsi="Arial" w:cs="Arial"/>
          <w:b/>
          <w:sz w:val="24"/>
          <w:szCs w:val="24"/>
        </w:rPr>
        <w:t>Rotating Buoyancy Modules</w:t>
      </w:r>
      <w:r w:rsidRPr="001628CE">
        <w:rPr>
          <w:rFonts w:ascii="Arial" w:hAnsi="Arial" w:cs="Arial"/>
          <w:sz w:val="24"/>
          <w:szCs w:val="24"/>
        </w:rPr>
        <w:t xml:space="preserve"> can be used on subsea pipelines or flowlines to reduce berm creation and create predictable, safe bucking zones. The modules practically eliminate rouge buckling. </w:t>
      </w:r>
    </w:p>
    <w:p w14:paraId="7AEBC26A" w14:textId="11BA6FAD" w:rsidR="00C0579F" w:rsidRPr="001628CE" w:rsidRDefault="00C0579F" w:rsidP="00931A12">
      <w:pPr>
        <w:shd w:val="clear" w:color="auto" w:fill="FFFFFF" w:themeFill="background1"/>
        <w:spacing w:after="0" w:line="360" w:lineRule="auto"/>
        <w:rPr>
          <w:rFonts w:ascii="Arial" w:hAnsi="Arial" w:cs="Arial"/>
          <w:sz w:val="24"/>
          <w:szCs w:val="24"/>
        </w:rPr>
      </w:pPr>
      <w:proofErr w:type="spellStart"/>
      <w:r w:rsidRPr="001628CE">
        <w:rPr>
          <w:rFonts w:ascii="Arial" w:hAnsi="Arial" w:cs="Arial"/>
          <w:b/>
          <w:sz w:val="24"/>
          <w:szCs w:val="24"/>
        </w:rPr>
        <w:t>Vikotherm</w:t>
      </w:r>
      <w:proofErr w:type="spellEnd"/>
      <w:r w:rsidR="00C91901" w:rsidRPr="001628CE">
        <w:rPr>
          <w:rFonts w:ascii="Arial" w:hAnsi="Arial" w:cs="Arial"/>
          <w:b/>
          <w:sz w:val="24"/>
          <w:szCs w:val="24"/>
          <w:vertAlign w:val="superscript"/>
        </w:rPr>
        <w:t>®</w:t>
      </w:r>
      <w:r w:rsidR="00931A12" w:rsidRPr="001628CE">
        <w:rPr>
          <w:rFonts w:ascii="Arial" w:hAnsi="Arial" w:cs="Arial"/>
          <w:sz w:val="24"/>
          <w:szCs w:val="24"/>
        </w:rPr>
        <w:t xml:space="preserve"> is a range of wet insulation materials used to prevent formation hydrate plugs and wax build-up in subsea structures.</w:t>
      </w:r>
    </w:p>
    <w:p w14:paraId="0D98C317" w14:textId="77777777" w:rsidR="00C0579F" w:rsidRPr="001628CE" w:rsidRDefault="00C0579F" w:rsidP="00A07BEE">
      <w:pPr>
        <w:shd w:val="clear" w:color="auto" w:fill="FFFFFF" w:themeFill="background1"/>
        <w:spacing w:after="0" w:line="360" w:lineRule="auto"/>
        <w:rPr>
          <w:rFonts w:ascii="Arial" w:hAnsi="Arial" w:cs="Arial"/>
          <w:sz w:val="24"/>
          <w:szCs w:val="24"/>
        </w:rPr>
      </w:pPr>
    </w:p>
    <w:p w14:paraId="4A758643" w14:textId="0CF7DA4F" w:rsidR="00C0579F" w:rsidRPr="001628CE" w:rsidRDefault="00C0579F" w:rsidP="00A07BEE">
      <w:pPr>
        <w:shd w:val="clear" w:color="auto" w:fill="FFFFFF" w:themeFill="background1"/>
        <w:spacing w:after="0" w:line="360" w:lineRule="auto"/>
        <w:rPr>
          <w:rFonts w:ascii="Arial" w:hAnsi="Arial" w:cs="Arial"/>
          <w:b/>
          <w:sz w:val="24"/>
          <w:szCs w:val="24"/>
        </w:rPr>
      </w:pPr>
      <w:r w:rsidRPr="001628CE">
        <w:rPr>
          <w:rFonts w:ascii="Arial" w:hAnsi="Arial" w:cs="Arial"/>
          <w:b/>
          <w:sz w:val="24"/>
          <w:szCs w:val="24"/>
        </w:rPr>
        <w:lastRenderedPageBreak/>
        <w:t>About OTC Asia</w:t>
      </w:r>
    </w:p>
    <w:p w14:paraId="19AC95B4" w14:textId="43C7FDA8" w:rsidR="00C0579F" w:rsidRPr="001628CE" w:rsidRDefault="00C0579F" w:rsidP="00C0579F">
      <w:pPr>
        <w:shd w:val="clear" w:color="auto" w:fill="FFFFFF" w:themeFill="background1"/>
        <w:spacing w:after="0" w:line="360" w:lineRule="auto"/>
        <w:rPr>
          <w:rFonts w:ascii="Arial" w:hAnsi="Arial" w:cs="Arial"/>
          <w:sz w:val="24"/>
          <w:szCs w:val="24"/>
        </w:rPr>
      </w:pPr>
      <w:r w:rsidRPr="001628CE">
        <w:rPr>
          <w:rFonts w:ascii="Arial" w:hAnsi="Arial" w:cs="Arial"/>
          <w:sz w:val="24"/>
          <w:szCs w:val="24"/>
        </w:rPr>
        <w:t>The biennial OTC Asia is where energy professionals meet to exchange ideas and opinions to advance scientific and technical knowledge for offshore resources and environmental matters.</w:t>
      </w:r>
      <w:r w:rsidR="00931A12" w:rsidRPr="001628CE">
        <w:rPr>
          <w:rFonts w:ascii="Arial" w:hAnsi="Arial" w:cs="Arial"/>
          <w:sz w:val="24"/>
          <w:szCs w:val="24"/>
        </w:rPr>
        <w:t xml:space="preserve"> </w:t>
      </w:r>
      <w:r w:rsidRPr="001628CE">
        <w:rPr>
          <w:rFonts w:ascii="Arial" w:hAnsi="Arial" w:cs="Arial"/>
          <w:sz w:val="24"/>
          <w:szCs w:val="24"/>
        </w:rPr>
        <w:t>OTC Asia provides the ideal platform to reflect on the achievements and aspirations of the region and the industry, and what it takes for Asia to remain resilient and responsive to a growing energy market.</w:t>
      </w:r>
    </w:p>
    <w:p w14:paraId="2374A736" w14:textId="77777777" w:rsidR="00A07BEE" w:rsidRPr="001628CE" w:rsidRDefault="00A07BEE" w:rsidP="00A07BEE">
      <w:pPr>
        <w:shd w:val="clear" w:color="auto" w:fill="FFFFFF" w:themeFill="background1"/>
        <w:spacing w:after="0" w:line="360" w:lineRule="auto"/>
        <w:rPr>
          <w:rFonts w:ascii="Arial" w:hAnsi="Arial" w:cs="Arial"/>
          <w:sz w:val="24"/>
          <w:szCs w:val="24"/>
        </w:rPr>
      </w:pPr>
    </w:p>
    <w:p w14:paraId="2F815A91" w14:textId="77777777" w:rsidR="00824711" w:rsidRPr="001628CE" w:rsidRDefault="00824711" w:rsidP="00211ACE">
      <w:pPr>
        <w:spacing w:after="120" w:line="360" w:lineRule="auto"/>
        <w:jc w:val="center"/>
        <w:rPr>
          <w:rFonts w:ascii="Arial" w:hAnsi="Arial" w:cs="Arial"/>
          <w:b/>
          <w:sz w:val="24"/>
          <w:szCs w:val="24"/>
        </w:rPr>
      </w:pPr>
      <w:r w:rsidRPr="001628CE">
        <w:rPr>
          <w:rFonts w:ascii="Arial" w:hAnsi="Arial" w:cs="Arial"/>
          <w:b/>
          <w:sz w:val="24"/>
          <w:szCs w:val="24"/>
        </w:rPr>
        <w:t>~ENDS~</w:t>
      </w:r>
    </w:p>
    <w:p w14:paraId="107C4BC3" w14:textId="77777777" w:rsidR="00824711" w:rsidRPr="001628CE" w:rsidRDefault="00824711" w:rsidP="00644075">
      <w:pPr>
        <w:spacing w:after="120" w:line="360" w:lineRule="auto"/>
        <w:ind w:left="-144"/>
        <w:jc w:val="both"/>
        <w:rPr>
          <w:rFonts w:ascii="Arial" w:hAnsi="Arial" w:cs="Arial"/>
          <w:bCs/>
          <w:sz w:val="24"/>
          <w:szCs w:val="24"/>
        </w:rPr>
      </w:pPr>
      <w:r w:rsidRPr="001628CE">
        <w:rPr>
          <w:rFonts w:ascii="Arial" w:hAnsi="Arial" w:cs="Arial"/>
          <w:b/>
          <w:sz w:val="24"/>
          <w:szCs w:val="24"/>
        </w:rPr>
        <w:t>For press information:</w:t>
      </w:r>
      <w:r w:rsidRPr="001628CE">
        <w:rPr>
          <w:rFonts w:ascii="Arial" w:hAnsi="Arial" w:cs="Arial"/>
          <w:sz w:val="24"/>
          <w:szCs w:val="24"/>
        </w:rPr>
        <w:t xml:space="preserve">  </w:t>
      </w:r>
    </w:p>
    <w:p w14:paraId="0B733E93" w14:textId="77777777" w:rsidR="00824711" w:rsidRPr="001628CE" w:rsidRDefault="00824711" w:rsidP="00644075">
      <w:pPr>
        <w:autoSpaceDE w:val="0"/>
        <w:autoSpaceDN w:val="0"/>
        <w:adjustRightInd w:val="0"/>
        <w:spacing w:after="120" w:line="360" w:lineRule="auto"/>
        <w:ind w:left="-142"/>
        <w:jc w:val="both"/>
        <w:rPr>
          <w:rFonts w:ascii="Arial" w:hAnsi="Arial" w:cs="Arial"/>
          <w:sz w:val="24"/>
          <w:szCs w:val="24"/>
        </w:rPr>
      </w:pPr>
      <w:r w:rsidRPr="001628CE">
        <w:rPr>
          <w:rFonts w:ascii="Arial" w:hAnsi="Arial" w:cs="Arial"/>
          <w:iCs/>
          <w:sz w:val="24"/>
          <w:szCs w:val="24"/>
        </w:rPr>
        <w:t xml:space="preserve">For additional information on Trelleborg solutions for all offshore and subsea markets, please call Ruth Clay, </w:t>
      </w:r>
      <w:r w:rsidRPr="001628CE">
        <w:rPr>
          <w:rFonts w:ascii="Arial" w:hAnsi="Arial" w:cs="Arial"/>
          <w:sz w:val="24"/>
          <w:szCs w:val="24"/>
        </w:rPr>
        <w:t xml:space="preserve">Mobile: +12817405755; </w:t>
      </w:r>
      <w:hyperlink r:id="rId10" w:history="1">
        <w:r w:rsidRPr="001628CE">
          <w:rPr>
            <w:rStyle w:val="Hyperlink"/>
            <w:rFonts w:ascii="Arial" w:hAnsi="Arial" w:cs="Arial"/>
            <w:color w:val="auto"/>
            <w:sz w:val="24"/>
            <w:szCs w:val="24"/>
          </w:rPr>
          <w:t>ruth.clay@trelleborg.com</w:t>
        </w:r>
      </w:hyperlink>
      <w:r w:rsidRPr="001628CE">
        <w:rPr>
          <w:rFonts w:ascii="Arial" w:eastAsia="SimSun" w:hAnsi="Arial" w:cs="Arial"/>
          <w:sz w:val="24"/>
          <w:szCs w:val="24"/>
        </w:rPr>
        <w:t>,</w:t>
      </w:r>
      <w:r w:rsidRPr="001628CE">
        <w:rPr>
          <w:rFonts w:ascii="Arial" w:hAnsi="Arial" w:cs="Arial"/>
          <w:sz w:val="24"/>
          <w:szCs w:val="24"/>
        </w:rPr>
        <w:t xml:space="preserve"> </w:t>
      </w:r>
      <w:hyperlink r:id="rId11" w:history="1">
        <w:r w:rsidRPr="001628CE">
          <w:rPr>
            <w:rStyle w:val="Hyperlink"/>
            <w:rFonts w:ascii="Arial" w:hAnsi="Arial" w:cs="Arial"/>
            <w:color w:val="auto"/>
            <w:sz w:val="24"/>
            <w:szCs w:val="24"/>
          </w:rPr>
          <w:t>@</w:t>
        </w:r>
        <w:proofErr w:type="spellStart"/>
        <w:r w:rsidRPr="001628CE">
          <w:rPr>
            <w:rStyle w:val="Hyperlink"/>
            <w:rFonts w:ascii="Arial" w:hAnsi="Arial" w:cs="Arial"/>
            <w:color w:val="auto"/>
            <w:sz w:val="24"/>
            <w:szCs w:val="24"/>
          </w:rPr>
          <w:t>OffshoreInsi</w:t>
        </w:r>
      </w:hyperlink>
      <w:r w:rsidRPr="001628CE">
        <w:rPr>
          <w:rStyle w:val="Hyperlink"/>
          <w:rFonts w:ascii="Arial" w:hAnsi="Arial" w:cs="Arial"/>
          <w:color w:val="auto"/>
          <w:sz w:val="24"/>
          <w:szCs w:val="24"/>
        </w:rPr>
        <w:t>ght</w:t>
      </w:r>
      <w:proofErr w:type="spellEnd"/>
      <w:r w:rsidRPr="001628CE">
        <w:rPr>
          <w:rStyle w:val="Hyperlink"/>
          <w:rFonts w:ascii="Arial" w:hAnsi="Arial" w:cs="Arial"/>
          <w:color w:val="auto"/>
          <w:sz w:val="24"/>
          <w:szCs w:val="24"/>
        </w:rPr>
        <w:t xml:space="preserve">, </w:t>
      </w:r>
      <w:hyperlink r:id="rId12" w:history="1">
        <w:r w:rsidRPr="001628CE">
          <w:rPr>
            <w:rStyle w:val="Hyperlink"/>
            <w:rFonts w:ascii="Arial" w:hAnsi="Arial" w:cs="Arial"/>
            <w:color w:val="auto"/>
            <w:sz w:val="24"/>
            <w:szCs w:val="24"/>
          </w:rPr>
          <w:t>LinkedIn</w:t>
        </w:r>
      </w:hyperlink>
      <w:r w:rsidRPr="001628CE">
        <w:rPr>
          <w:rFonts w:ascii="Arial" w:hAnsi="Arial" w:cs="Arial"/>
          <w:sz w:val="24"/>
          <w:szCs w:val="24"/>
        </w:rPr>
        <w:t xml:space="preserve">. </w:t>
      </w:r>
    </w:p>
    <w:p w14:paraId="5F3452DC" w14:textId="77777777" w:rsidR="00824711" w:rsidRPr="001628CE" w:rsidRDefault="00824711" w:rsidP="00644075">
      <w:pPr>
        <w:spacing w:after="120" w:line="360" w:lineRule="auto"/>
        <w:ind w:left="-142"/>
        <w:jc w:val="both"/>
        <w:rPr>
          <w:rFonts w:ascii="Arial" w:hAnsi="Arial" w:cs="Arial"/>
          <w:b/>
          <w:iCs/>
          <w:sz w:val="24"/>
          <w:szCs w:val="24"/>
          <w:lang w:val="en-GB"/>
        </w:rPr>
      </w:pPr>
      <w:r w:rsidRPr="001628CE">
        <w:rPr>
          <w:rFonts w:ascii="Arial" w:hAnsi="Arial" w:cs="Arial"/>
          <w:b/>
          <w:iCs/>
          <w:sz w:val="24"/>
          <w:szCs w:val="24"/>
          <w:lang w:val="en-GB"/>
        </w:rPr>
        <w:t xml:space="preserve">Notes to Editors: </w:t>
      </w:r>
    </w:p>
    <w:p w14:paraId="3B8495D2" w14:textId="77777777" w:rsidR="00110B13" w:rsidRPr="001628CE" w:rsidRDefault="00824711" w:rsidP="00110B13">
      <w:pPr>
        <w:spacing w:after="0" w:line="360" w:lineRule="auto"/>
        <w:ind w:left="-142"/>
        <w:jc w:val="both"/>
        <w:rPr>
          <w:rFonts w:ascii="Arial" w:eastAsiaTheme="minorEastAsia" w:hAnsi="Arial" w:cs="Arial"/>
          <w:sz w:val="24"/>
          <w:szCs w:val="24"/>
          <w:lang w:val="en-GB" w:eastAsia="zh-TW" w:bidi="th-TH"/>
        </w:rPr>
      </w:pPr>
      <w:r w:rsidRPr="001628CE">
        <w:rPr>
          <w:rFonts w:ascii="Arial" w:hAnsi="Arial" w:cs="Arial"/>
          <w:b/>
          <w:iCs/>
          <w:sz w:val="24"/>
          <w:szCs w:val="24"/>
          <w:lang w:val="en-GB"/>
        </w:rPr>
        <w:t>Trelleborg’s offshore operation and Trelleborg Group</w:t>
      </w:r>
    </w:p>
    <w:p w14:paraId="687464BD" w14:textId="77777777" w:rsidR="00824711" w:rsidRPr="001628CE" w:rsidRDefault="00824711" w:rsidP="00110B13">
      <w:pPr>
        <w:spacing w:line="240" w:lineRule="auto"/>
        <w:ind w:left="-142"/>
        <w:jc w:val="both"/>
        <w:rPr>
          <w:rFonts w:ascii="Arial" w:eastAsiaTheme="minorEastAsia" w:hAnsi="Arial" w:cs="Arial"/>
          <w:sz w:val="24"/>
          <w:szCs w:val="24"/>
          <w:lang w:val="en-GB" w:eastAsia="zh-TW" w:bidi="th-TH"/>
        </w:rPr>
      </w:pPr>
      <w:r w:rsidRPr="001628CE">
        <w:rPr>
          <w:rFonts w:ascii="Arial" w:hAnsi="Arial" w:cs="Arial"/>
          <w:sz w:val="24"/>
          <w:szCs w:val="24"/>
        </w:rPr>
        <w:t>Using advanced polymer material technology, Trelleborg’s offshore operation provides high integrity solutions for the harshest and most demanding offshore environments. As part of the Trelleborg Offshore &amp; Construction</w:t>
      </w:r>
      <w:r w:rsidRPr="001628CE" w:rsidDel="00EF649C">
        <w:rPr>
          <w:rFonts w:ascii="Arial" w:hAnsi="Arial" w:cs="Arial"/>
          <w:sz w:val="24"/>
          <w:szCs w:val="24"/>
        </w:rPr>
        <w:t xml:space="preserve"> </w:t>
      </w:r>
      <w:r w:rsidRPr="001628CE">
        <w:rPr>
          <w:rFonts w:ascii="Arial" w:hAnsi="Arial" w:cs="Arial"/>
          <w:sz w:val="24"/>
          <w:szCs w:val="24"/>
        </w:rPr>
        <w:t xml:space="preserve">Business Area of Trelleborg Group, </w:t>
      </w:r>
      <w:r w:rsidRPr="001628CE">
        <w:rPr>
          <w:rFonts w:ascii="Arial" w:hAnsi="Arial" w:cs="Arial"/>
          <w:b/>
          <w:sz w:val="24"/>
          <w:szCs w:val="24"/>
        </w:rPr>
        <w:t>Trelleborg’s offshore operation</w:t>
      </w:r>
      <w:r w:rsidRPr="001628CE">
        <w:rPr>
          <w:rFonts w:ascii="Arial" w:hAnsi="Arial" w:cs="Arial"/>
          <w:sz w:val="24"/>
          <w:szCs w:val="24"/>
        </w:rPr>
        <w:t xml:space="preserve"> specializes in the development and production of polymer and syntactic </w:t>
      </w:r>
      <w:r w:rsidRPr="00C41B66">
        <w:rPr>
          <w:rFonts w:ascii="Arial" w:hAnsi="Arial" w:cs="Arial"/>
          <w:noProof/>
          <w:sz w:val="24"/>
          <w:szCs w:val="24"/>
        </w:rPr>
        <w:t>foam based</w:t>
      </w:r>
      <w:r w:rsidRPr="001628CE">
        <w:rPr>
          <w:rFonts w:ascii="Arial" w:hAnsi="Arial" w:cs="Arial"/>
          <w:sz w:val="24"/>
          <w:szCs w:val="24"/>
        </w:rPr>
        <w:t xml:space="preserve"> seismic, marine, buoyancy, cable protection and thermal insulation products, as well as rubber-based passive and active fire protection solutions for the offshore industry. </w:t>
      </w:r>
      <w:r w:rsidRPr="001628CE">
        <w:rPr>
          <w:rFonts w:ascii="Arial" w:hAnsi="Arial" w:cs="Arial"/>
          <w:iCs/>
          <w:sz w:val="24"/>
          <w:szCs w:val="24"/>
        </w:rPr>
        <w:t>Within its portfolio are some long established and respected brands including, CRP, OCP, Viking and Emerson &amp; Cuming</w:t>
      </w:r>
      <w:r w:rsidRPr="001628CE">
        <w:rPr>
          <w:rFonts w:ascii="Arial" w:hAnsi="Arial" w:cs="Arial"/>
          <w:sz w:val="24"/>
          <w:szCs w:val="24"/>
        </w:rPr>
        <w:t xml:space="preserve">. Trelleborg’s offshore operation has been providing innovative solutions to the industry for over 30 years. </w:t>
      </w:r>
      <w:hyperlink r:id="rId13" w:history="1">
        <w:r w:rsidRPr="001628CE">
          <w:rPr>
            <w:rFonts w:ascii="Arial" w:eastAsia="SimHei" w:hAnsi="Arial" w:cs="Arial"/>
            <w:sz w:val="24"/>
            <w:szCs w:val="24"/>
            <w:u w:val="single"/>
          </w:rPr>
          <w:t>www.trelleborg.com/offshore</w:t>
        </w:r>
      </w:hyperlink>
    </w:p>
    <w:p w14:paraId="5449A37D" w14:textId="1433B7F0" w:rsidR="00824711" w:rsidRPr="001628CE" w:rsidRDefault="00565006" w:rsidP="00565006">
      <w:pPr>
        <w:spacing w:after="120" w:line="240" w:lineRule="auto"/>
        <w:ind w:left="-142"/>
        <w:jc w:val="both"/>
        <w:rPr>
          <w:rFonts w:ascii="Arial" w:hAnsi="Arial" w:cs="Arial"/>
          <w:sz w:val="24"/>
          <w:szCs w:val="24"/>
        </w:rPr>
      </w:pPr>
      <w:r w:rsidRPr="001628CE">
        <w:rPr>
          <w:rFonts w:ascii="Arial" w:hAnsi="Arial" w:cs="Arial"/>
          <w:b/>
          <w:bCs/>
          <w:iCs/>
          <w:sz w:val="24"/>
          <w:szCs w:val="24"/>
        </w:rPr>
        <w:t xml:space="preserve">Trelleborg </w:t>
      </w:r>
      <w:r w:rsidRPr="001628CE">
        <w:rPr>
          <w:rFonts w:ascii="Arial" w:hAnsi="Arial" w:cs="Arial"/>
          <w:bCs/>
          <w:iCs/>
          <w:sz w:val="24"/>
          <w:szCs w:val="24"/>
        </w:rPr>
        <w:t xml:space="preserve">is a world leader in engineered polymer solutions that seal, damp and protect critical applications in demanding environments. Its innovative solutions accelerate performance for customers in a sustainable way. The Trelleborg Group has annual sales of about SEK 32 billion (EUR 3.28 billion, USD 3.69 billion) and operations in about 50 countries. The Group comprises five business areas: Trelleborg Coated Systems, Trelleborg Industrial Solutions, Trelleborg Offshore &amp; Construction, Trelleborg Sealing Solutions and Trelleborg Wheel Systems. The Trelleborg share has been listed on the Stock Exchange since 1964 and is listed on Nasdaq Stockholm, Large Cap. </w:t>
      </w:r>
      <w:r w:rsidRPr="001628CE">
        <w:rPr>
          <w:rFonts w:ascii="Arial" w:hAnsi="Arial" w:cs="Arial"/>
          <w:bCs/>
          <w:iCs/>
          <w:sz w:val="24"/>
          <w:szCs w:val="24"/>
        </w:rPr>
        <w:tab/>
        <w:t>www.trelleborg.com.</w:t>
      </w:r>
    </w:p>
    <w:sectPr w:rsidR="00824711" w:rsidRPr="001628C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2A701" w14:textId="77777777" w:rsidR="00EC55DA" w:rsidRDefault="00EC55DA" w:rsidP="00062857">
      <w:pPr>
        <w:spacing w:after="0" w:line="240" w:lineRule="auto"/>
      </w:pPr>
      <w:r>
        <w:separator/>
      </w:r>
    </w:p>
  </w:endnote>
  <w:endnote w:type="continuationSeparator" w:id="0">
    <w:p w14:paraId="45178598" w14:textId="77777777" w:rsidR="00EC55DA" w:rsidRDefault="00EC55DA" w:rsidP="0006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0FE62" w14:textId="77777777" w:rsidR="00EC55DA" w:rsidRDefault="00EC55DA" w:rsidP="00062857">
      <w:pPr>
        <w:spacing w:after="0" w:line="240" w:lineRule="auto"/>
      </w:pPr>
      <w:r>
        <w:separator/>
      </w:r>
    </w:p>
  </w:footnote>
  <w:footnote w:type="continuationSeparator" w:id="0">
    <w:p w14:paraId="7F84E425" w14:textId="77777777" w:rsidR="00EC55DA" w:rsidRDefault="00EC55DA" w:rsidP="0006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550A" w14:textId="77777777" w:rsidR="00D942EE" w:rsidRDefault="00D942EE" w:rsidP="00D942EE">
    <w:pPr>
      <w:pStyle w:val="Header"/>
      <w:jc w:val="center"/>
    </w:pPr>
    <w:r>
      <w:rPr>
        <w:noProof/>
      </w:rPr>
      <w:drawing>
        <wp:inline distT="0" distB="0" distL="0" distR="0" wp14:anchorId="1D88511F" wp14:editId="119CD15B">
          <wp:extent cx="14478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B 40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609600"/>
                  </a:xfrm>
                  <a:prstGeom prst="rect">
                    <a:avLst/>
                  </a:prstGeom>
                </pic:spPr>
              </pic:pic>
            </a:graphicData>
          </a:graphic>
        </wp:inline>
      </w:drawing>
    </w:r>
  </w:p>
  <w:p w14:paraId="50343F1E" w14:textId="77777777" w:rsidR="00D942EE" w:rsidRDefault="00D942EE" w:rsidP="00D942E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yMTEwMzY3NDIytDRT0lEKTi0uzszPAykwMq0FAKslpU8tAAAA"/>
  </w:docVars>
  <w:rsids>
    <w:rsidRoot w:val="0056288C"/>
    <w:rsid w:val="00003877"/>
    <w:rsid w:val="00010B0E"/>
    <w:rsid w:val="000164FE"/>
    <w:rsid w:val="00017EC2"/>
    <w:rsid w:val="0002048A"/>
    <w:rsid w:val="00047504"/>
    <w:rsid w:val="00062857"/>
    <w:rsid w:val="00067CBE"/>
    <w:rsid w:val="00073F85"/>
    <w:rsid w:val="00074FDC"/>
    <w:rsid w:val="0008059F"/>
    <w:rsid w:val="00095DCC"/>
    <w:rsid w:val="000D7D6A"/>
    <w:rsid w:val="000E086C"/>
    <w:rsid w:val="000E2EEA"/>
    <w:rsid w:val="000F75E5"/>
    <w:rsid w:val="000F7683"/>
    <w:rsid w:val="00110B13"/>
    <w:rsid w:val="001177E8"/>
    <w:rsid w:val="00126EB7"/>
    <w:rsid w:val="001338F4"/>
    <w:rsid w:val="00136A17"/>
    <w:rsid w:val="001377C0"/>
    <w:rsid w:val="001455F3"/>
    <w:rsid w:val="00147F79"/>
    <w:rsid w:val="0016278E"/>
    <w:rsid w:val="001628CE"/>
    <w:rsid w:val="001650E2"/>
    <w:rsid w:val="00186414"/>
    <w:rsid w:val="001873F1"/>
    <w:rsid w:val="001A6BAA"/>
    <w:rsid w:val="001A7B0B"/>
    <w:rsid w:val="001B3AD0"/>
    <w:rsid w:val="001E2678"/>
    <w:rsid w:val="001F30D3"/>
    <w:rsid w:val="001F460D"/>
    <w:rsid w:val="001F599D"/>
    <w:rsid w:val="00211ACE"/>
    <w:rsid w:val="00213A4D"/>
    <w:rsid w:val="00224111"/>
    <w:rsid w:val="00235298"/>
    <w:rsid w:val="0024566B"/>
    <w:rsid w:val="00262BA7"/>
    <w:rsid w:val="00290317"/>
    <w:rsid w:val="002978A3"/>
    <w:rsid w:val="002A0BA4"/>
    <w:rsid w:val="002A4049"/>
    <w:rsid w:val="002B639C"/>
    <w:rsid w:val="002D62B8"/>
    <w:rsid w:val="002F1F53"/>
    <w:rsid w:val="002F620F"/>
    <w:rsid w:val="00306BC9"/>
    <w:rsid w:val="00332A75"/>
    <w:rsid w:val="00335AFC"/>
    <w:rsid w:val="00341B98"/>
    <w:rsid w:val="003479E5"/>
    <w:rsid w:val="0036507A"/>
    <w:rsid w:val="0037410C"/>
    <w:rsid w:val="00396DD2"/>
    <w:rsid w:val="00397FC8"/>
    <w:rsid w:val="003A1CBE"/>
    <w:rsid w:val="003A41B3"/>
    <w:rsid w:val="003B24C0"/>
    <w:rsid w:val="003C69DE"/>
    <w:rsid w:val="003E07F2"/>
    <w:rsid w:val="003E5963"/>
    <w:rsid w:val="003F0D34"/>
    <w:rsid w:val="00400ADC"/>
    <w:rsid w:val="004123EE"/>
    <w:rsid w:val="00425751"/>
    <w:rsid w:val="00426E51"/>
    <w:rsid w:val="0042787A"/>
    <w:rsid w:val="00434440"/>
    <w:rsid w:val="00442D3A"/>
    <w:rsid w:val="0044503B"/>
    <w:rsid w:val="00446931"/>
    <w:rsid w:val="00456595"/>
    <w:rsid w:val="00476127"/>
    <w:rsid w:val="004853FB"/>
    <w:rsid w:val="004942C3"/>
    <w:rsid w:val="004A1972"/>
    <w:rsid w:val="004A4793"/>
    <w:rsid w:val="004A6FE9"/>
    <w:rsid w:val="004C1455"/>
    <w:rsid w:val="004C5E0A"/>
    <w:rsid w:val="004E0463"/>
    <w:rsid w:val="0051282E"/>
    <w:rsid w:val="005231DB"/>
    <w:rsid w:val="005450C0"/>
    <w:rsid w:val="00553B4B"/>
    <w:rsid w:val="005627B3"/>
    <w:rsid w:val="0056288C"/>
    <w:rsid w:val="00562D67"/>
    <w:rsid w:val="00564617"/>
    <w:rsid w:val="00565006"/>
    <w:rsid w:val="005717C4"/>
    <w:rsid w:val="00571D94"/>
    <w:rsid w:val="005738B2"/>
    <w:rsid w:val="005849E4"/>
    <w:rsid w:val="005B2841"/>
    <w:rsid w:val="005C093C"/>
    <w:rsid w:val="005C3106"/>
    <w:rsid w:val="005C4F5D"/>
    <w:rsid w:val="005E7CCA"/>
    <w:rsid w:val="00611BCC"/>
    <w:rsid w:val="00615399"/>
    <w:rsid w:val="0061733A"/>
    <w:rsid w:val="00623638"/>
    <w:rsid w:val="00627CD4"/>
    <w:rsid w:val="006365B0"/>
    <w:rsid w:val="006400AE"/>
    <w:rsid w:val="00644075"/>
    <w:rsid w:val="0065032E"/>
    <w:rsid w:val="0065180C"/>
    <w:rsid w:val="00653299"/>
    <w:rsid w:val="00654756"/>
    <w:rsid w:val="0066326F"/>
    <w:rsid w:val="00665B11"/>
    <w:rsid w:val="006669C3"/>
    <w:rsid w:val="006A07C4"/>
    <w:rsid w:val="006A5258"/>
    <w:rsid w:val="006B5655"/>
    <w:rsid w:val="006C5E72"/>
    <w:rsid w:val="006E3415"/>
    <w:rsid w:val="006F64A6"/>
    <w:rsid w:val="00703EC6"/>
    <w:rsid w:val="007105DF"/>
    <w:rsid w:val="00714895"/>
    <w:rsid w:val="00714896"/>
    <w:rsid w:val="007444CD"/>
    <w:rsid w:val="00753C85"/>
    <w:rsid w:val="00754B84"/>
    <w:rsid w:val="00764CD3"/>
    <w:rsid w:val="0077589B"/>
    <w:rsid w:val="00775D6C"/>
    <w:rsid w:val="00777913"/>
    <w:rsid w:val="00781A30"/>
    <w:rsid w:val="00783751"/>
    <w:rsid w:val="00797B33"/>
    <w:rsid w:val="007A30A2"/>
    <w:rsid w:val="007B2884"/>
    <w:rsid w:val="007D65B3"/>
    <w:rsid w:val="007D6DBE"/>
    <w:rsid w:val="007E67DA"/>
    <w:rsid w:val="007F462E"/>
    <w:rsid w:val="007F4C1D"/>
    <w:rsid w:val="00810B50"/>
    <w:rsid w:val="00824711"/>
    <w:rsid w:val="00827D5D"/>
    <w:rsid w:val="00840033"/>
    <w:rsid w:val="00840FC9"/>
    <w:rsid w:val="008630A6"/>
    <w:rsid w:val="0087088B"/>
    <w:rsid w:val="0088002F"/>
    <w:rsid w:val="00883716"/>
    <w:rsid w:val="00883950"/>
    <w:rsid w:val="00894E35"/>
    <w:rsid w:val="008A3E9B"/>
    <w:rsid w:val="008B3DEE"/>
    <w:rsid w:val="008C073F"/>
    <w:rsid w:val="008C2788"/>
    <w:rsid w:val="008C5D89"/>
    <w:rsid w:val="008F3768"/>
    <w:rsid w:val="008F4C63"/>
    <w:rsid w:val="009069E7"/>
    <w:rsid w:val="009160FE"/>
    <w:rsid w:val="00931A12"/>
    <w:rsid w:val="0093222F"/>
    <w:rsid w:val="00937329"/>
    <w:rsid w:val="00941F29"/>
    <w:rsid w:val="009513E1"/>
    <w:rsid w:val="00962BBB"/>
    <w:rsid w:val="00967EBC"/>
    <w:rsid w:val="00972493"/>
    <w:rsid w:val="009735FF"/>
    <w:rsid w:val="00975793"/>
    <w:rsid w:val="009831DB"/>
    <w:rsid w:val="009A380F"/>
    <w:rsid w:val="009A502F"/>
    <w:rsid w:val="009B4908"/>
    <w:rsid w:val="009C5A97"/>
    <w:rsid w:val="009D637C"/>
    <w:rsid w:val="009F2DF0"/>
    <w:rsid w:val="009F302E"/>
    <w:rsid w:val="00A07BEE"/>
    <w:rsid w:val="00A16ACC"/>
    <w:rsid w:val="00A17B80"/>
    <w:rsid w:val="00A23B73"/>
    <w:rsid w:val="00A2780D"/>
    <w:rsid w:val="00A34477"/>
    <w:rsid w:val="00A362AA"/>
    <w:rsid w:val="00A42FE5"/>
    <w:rsid w:val="00A44A50"/>
    <w:rsid w:val="00A45ABA"/>
    <w:rsid w:val="00A464D3"/>
    <w:rsid w:val="00A61CD1"/>
    <w:rsid w:val="00A85BB2"/>
    <w:rsid w:val="00AA68B0"/>
    <w:rsid w:val="00AA7559"/>
    <w:rsid w:val="00AB7321"/>
    <w:rsid w:val="00AC13CE"/>
    <w:rsid w:val="00AC3559"/>
    <w:rsid w:val="00AC5846"/>
    <w:rsid w:val="00AC66F2"/>
    <w:rsid w:val="00AE23C9"/>
    <w:rsid w:val="00AE6177"/>
    <w:rsid w:val="00AF100C"/>
    <w:rsid w:val="00B069AB"/>
    <w:rsid w:val="00B106F3"/>
    <w:rsid w:val="00B21705"/>
    <w:rsid w:val="00B221DB"/>
    <w:rsid w:val="00B26390"/>
    <w:rsid w:val="00B27EC1"/>
    <w:rsid w:val="00B30674"/>
    <w:rsid w:val="00B36DFA"/>
    <w:rsid w:val="00B40B39"/>
    <w:rsid w:val="00B411C7"/>
    <w:rsid w:val="00B47315"/>
    <w:rsid w:val="00B56B5C"/>
    <w:rsid w:val="00B62EBF"/>
    <w:rsid w:val="00B63F96"/>
    <w:rsid w:val="00B8176A"/>
    <w:rsid w:val="00B87743"/>
    <w:rsid w:val="00B96E31"/>
    <w:rsid w:val="00BA5C00"/>
    <w:rsid w:val="00BB37CF"/>
    <w:rsid w:val="00BB6A67"/>
    <w:rsid w:val="00BC4D1E"/>
    <w:rsid w:val="00BE70F7"/>
    <w:rsid w:val="00BF3DE7"/>
    <w:rsid w:val="00BF559A"/>
    <w:rsid w:val="00C0579F"/>
    <w:rsid w:val="00C12D34"/>
    <w:rsid w:val="00C24DDF"/>
    <w:rsid w:val="00C32438"/>
    <w:rsid w:val="00C41B66"/>
    <w:rsid w:val="00C42533"/>
    <w:rsid w:val="00C45770"/>
    <w:rsid w:val="00C52A8C"/>
    <w:rsid w:val="00C571F1"/>
    <w:rsid w:val="00C610ED"/>
    <w:rsid w:val="00C62C18"/>
    <w:rsid w:val="00C71F26"/>
    <w:rsid w:val="00C82D8E"/>
    <w:rsid w:val="00C83521"/>
    <w:rsid w:val="00C860EB"/>
    <w:rsid w:val="00C87261"/>
    <w:rsid w:val="00C91901"/>
    <w:rsid w:val="00C934B3"/>
    <w:rsid w:val="00CA0AF8"/>
    <w:rsid w:val="00CA133A"/>
    <w:rsid w:val="00CA7BC7"/>
    <w:rsid w:val="00CA7F04"/>
    <w:rsid w:val="00CB5BA4"/>
    <w:rsid w:val="00CC47A9"/>
    <w:rsid w:val="00CC666B"/>
    <w:rsid w:val="00CD32D4"/>
    <w:rsid w:val="00CE42A6"/>
    <w:rsid w:val="00CE7883"/>
    <w:rsid w:val="00CF4E3D"/>
    <w:rsid w:val="00D00418"/>
    <w:rsid w:val="00D00BAB"/>
    <w:rsid w:val="00D026F6"/>
    <w:rsid w:val="00D03BA8"/>
    <w:rsid w:val="00D20F73"/>
    <w:rsid w:val="00D41ABE"/>
    <w:rsid w:val="00D51A5B"/>
    <w:rsid w:val="00D620A3"/>
    <w:rsid w:val="00D82BCF"/>
    <w:rsid w:val="00D863A4"/>
    <w:rsid w:val="00D942EE"/>
    <w:rsid w:val="00D970D3"/>
    <w:rsid w:val="00DA67ED"/>
    <w:rsid w:val="00DB4768"/>
    <w:rsid w:val="00DB5243"/>
    <w:rsid w:val="00DD708E"/>
    <w:rsid w:val="00DE08F4"/>
    <w:rsid w:val="00DF01C4"/>
    <w:rsid w:val="00DF152A"/>
    <w:rsid w:val="00E10E87"/>
    <w:rsid w:val="00E11EC8"/>
    <w:rsid w:val="00E14015"/>
    <w:rsid w:val="00E3582E"/>
    <w:rsid w:val="00E47FBE"/>
    <w:rsid w:val="00E52891"/>
    <w:rsid w:val="00E55E2D"/>
    <w:rsid w:val="00E64022"/>
    <w:rsid w:val="00E74C69"/>
    <w:rsid w:val="00E75D8F"/>
    <w:rsid w:val="00E93CC4"/>
    <w:rsid w:val="00EA5B76"/>
    <w:rsid w:val="00EC52CA"/>
    <w:rsid w:val="00EC55DA"/>
    <w:rsid w:val="00EC5648"/>
    <w:rsid w:val="00ED2EE0"/>
    <w:rsid w:val="00ED43E7"/>
    <w:rsid w:val="00ED4B5E"/>
    <w:rsid w:val="00ED5A31"/>
    <w:rsid w:val="00ED782F"/>
    <w:rsid w:val="00EE69C5"/>
    <w:rsid w:val="00F131BE"/>
    <w:rsid w:val="00F1705A"/>
    <w:rsid w:val="00F208E3"/>
    <w:rsid w:val="00F37454"/>
    <w:rsid w:val="00F41FD9"/>
    <w:rsid w:val="00F4756E"/>
    <w:rsid w:val="00F53CAE"/>
    <w:rsid w:val="00F65C34"/>
    <w:rsid w:val="00F74340"/>
    <w:rsid w:val="00F87E19"/>
    <w:rsid w:val="00F935DB"/>
    <w:rsid w:val="00FA0EDB"/>
    <w:rsid w:val="00FA298D"/>
    <w:rsid w:val="00FC1BB4"/>
    <w:rsid w:val="00FC7CA1"/>
    <w:rsid w:val="00FD0AE9"/>
    <w:rsid w:val="00FD1C34"/>
    <w:rsid w:val="00FD3B3C"/>
    <w:rsid w:val="00FD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D7452"/>
  <w15:chartTrackingRefBased/>
  <w15:docId w15:val="{2AC2585D-06FA-4E4E-B6FA-509601C7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cbnttl">
    <w:name w:val="ccbnttl"/>
    <w:basedOn w:val="DefaultParagraphFont"/>
    <w:rsid w:val="0056288C"/>
  </w:style>
  <w:style w:type="paragraph" w:styleId="NormalWeb">
    <w:name w:val="Normal (Web)"/>
    <w:basedOn w:val="Normal"/>
    <w:uiPriority w:val="99"/>
    <w:semiHidden/>
    <w:unhideWhenUsed/>
    <w:rsid w:val="00562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88C"/>
  </w:style>
  <w:style w:type="character" w:styleId="Hyperlink">
    <w:name w:val="Hyperlink"/>
    <w:basedOn w:val="DefaultParagraphFont"/>
    <w:unhideWhenUsed/>
    <w:rsid w:val="0056288C"/>
    <w:rPr>
      <w:color w:val="0000FF"/>
      <w:u w:val="single"/>
    </w:rPr>
  </w:style>
  <w:style w:type="paragraph" w:styleId="BalloonText">
    <w:name w:val="Balloon Text"/>
    <w:basedOn w:val="Normal"/>
    <w:link w:val="BalloonTextChar"/>
    <w:uiPriority w:val="99"/>
    <w:semiHidden/>
    <w:unhideWhenUsed/>
    <w:rsid w:val="00562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88C"/>
    <w:rPr>
      <w:rFonts w:ascii="Segoe UI" w:hAnsi="Segoe UI" w:cs="Segoe UI"/>
      <w:sz w:val="18"/>
      <w:szCs w:val="18"/>
    </w:rPr>
  </w:style>
  <w:style w:type="paragraph" w:styleId="Revision">
    <w:name w:val="Revision"/>
    <w:hidden/>
    <w:uiPriority w:val="99"/>
    <w:semiHidden/>
    <w:rsid w:val="0061733A"/>
    <w:pPr>
      <w:spacing w:after="0" w:line="240" w:lineRule="auto"/>
    </w:pPr>
  </w:style>
  <w:style w:type="paragraph" w:styleId="Header">
    <w:name w:val="header"/>
    <w:basedOn w:val="Normal"/>
    <w:link w:val="HeaderChar"/>
    <w:uiPriority w:val="99"/>
    <w:unhideWhenUsed/>
    <w:rsid w:val="0006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57"/>
  </w:style>
  <w:style w:type="paragraph" w:styleId="Footer">
    <w:name w:val="footer"/>
    <w:basedOn w:val="Normal"/>
    <w:link w:val="FooterChar"/>
    <w:uiPriority w:val="99"/>
    <w:unhideWhenUsed/>
    <w:rsid w:val="0006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57"/>
  </w:style>
  <w:style w:type="character" w:styleId="CommentReference">
    <w:name w:val="annotation reference"/>
    <w:basedOn w:val="DefaultParagraphFont"/>
    <w:uiPriority w:val="99"/>
    <w:semiHidden/>
    <w:unhideWhenUsed/>
    <w:rsid w:val="0008059F"/>
    <w:rPr>
      <w:sz w:val="16"/>
      <w:szCs w:val="16"/>
    </w:rPr>
  </w:style>
  <w:style w:type="paragraph" w:styleId="CommentText">
    <w:name w:val="annotation text"/>
    <w:basedOn w:val="Normal"/>
    <w:link w:val="CommentTextChar"/>
    <w:uiPriority w:val="99"/>
    <w:semiHidden/>
    <w:unhideWhenUsed/>
    <w:rsid w:val="0008059F"/>
    <w:pPr>
      <w:spacing w:line="240" w:lineRule="auto"/>
    </w:pPr>
    <w:rPr>
      <w:sz w:val="20"/>
      <w:szCs w:val="20"/>
    </w:rPr>
  </w:style>
  <w:style w:type="character" w:customStyle="1" w:styleId="CommentTextChar">
    <w:name w:val="Comment Text Char"/>
    <w:basedOn w:val="DefaultParagraphFont"/>
    <w:link w:val="CommentText"/>
    <w:uiPriority w:val="99"/>
    <w:semiHidden/>
    <w:rsid w:val="0008059F"/>
    <w:rPr>
      <w:sz w:val="20"/>
      <w:szCs w:val="20"/>
    </w:rPr>
  </w:style>
  <w:style w:type="paragraph" w:styleId="CommentSubject">
    <w:name w:val="annotation subject"/>
    <w:basedOn w:val="CommentText"/>
    <w:next w:val="CommentText"/>
    <w:link w:val="CommentSubjectChar"/>
    <w:uiPriority w:val="99"/>
    <w:semiHidden/>
    <w:unhideWhenUsed/>
    <w:rsid w:val="0008059F"/>
    <w:rPr>
      <w:b/>
      <w:bCs/>
    </w:rPr>
  </w:style>
  <w:style w:type="character" w:customStyle="1" w:styleId="CommentSubjectChar">
    <w:name w:val="Comment Subject Char"/>
    <w:basedOn w:val="CommentTextChar"/>
    <w:link w:val="CommentSubject"/>
    <w:uiPriority w:val="99"/>
    <w:semiHidden/>
    <w:rsid w:val="0008059F"/>
    <w:rPr>
      <w:b/>
      <w:bCs/>
      <w:sz w:val="20"/>
      <w:szCs w:val="20"/>
    </w:rPr>
  </w:style>
  <w:style w:type="character" w:styleId="FollowedHyperlink">
    <w:name w:val="FollowedHyperlink"/>
    <w:basedOn w:val="DefaultParagraphFont"/>
    <w:uiPriority w:val="99"/>
    <w:semiHidden/>
    <w:unhideWhenUsed/>
    <w:rsid w:val="00290317"/>
    <w:rPr>
      <w:color w:val="954F72" w:themeColor="followedHyperlink"/>
      <w:u w:val="single"/>
    </w:rPr>
  </w:style>
  <w:style w:type="character" w:styleId="PlaceholderText">
    <w:name w:val="Placeholder Text"/>
    <w:basedOn w:val="DefaultParagraphFont"/>
    <w:uiPriority w:val="99"/>
    <w:semiHidden/>
    <w:rsid w:val="000475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437554">
      <w:bodyDiv w:val="1"/>
      <w:marLeft w:val="0"/>
      <w:marRight w:val="0"/>
      <w:marTop w:val="0"/>
      <w:marBottom w:val="0"/>
      <w:divBdr>
        <w:top w:val="none" w:sz="0" w:space="0" w:color="auto"/>
        <w:left w:val="none" w:sz="0" w:space="0" w:color="auto"/>
        <w:bottom w:val="none" w:sz="0" w:space="0" w:color="auto"/>
        <w:right w:val="none" w:sz="0" w:space="0" w:color="auto"/>
      </w:divBdr>
      <w:divsChild>
        <w:div w:id="491681654">
          <w:marLeft w:val="0"/>
          <w:marRight w:val="0"/>
          <w:marTop w:val="0"/>
          <w:marBottom w:val="0"/>
          <w:divBdr>
            <w:top w:val="none" w:sz="0" w:space="0" w:color="auto"/>
            <w:left w:val="none" w:sz="0" w:space="0" w:color="auto"/>
            <w:bottom w:val="none" w:sz="0" w:space="0" w:color="auto"/>
            <w:right w:val="none" w:sz="0" w:space="0" w:color="auto"/>
          </w:divBdr>
        </w:div>
      </w:divsChild>
    </w:div>
    <w:div w:id="967322986">
      <w:bodyDiv w:val="1"/>
      <w:marLeft w:val="0"/>
      <w:marRight w:val="0"/>
      <w:marTop w:val="0"/>
      <w:marBottom w:val="0"/>
      <w:divBdr>
        <w:top w:val="none" w:sz="0" w:space="0" w:color="auto"/>
        <w:left w:val="none" w:sz="0" w:space="0" w:color="auto"/>
        <w:bottom w:val="none" w:sz="0" w:space="0" w:color="auto"/>
        <w:right w:val="none" w:sz="0" w:space="0" w:color="auto"/>
      </w:divBdr>
    </w:div>
    <w:div w:id="1539009130">
      <w:bodyDiv w:val="1"/>
      <w:marLeft w:val="0"/>
      <w:marRight w:val="0"/>
      <w:marTop w:val="0"/>
      <w:marBottom w:val="0"/>
      <w:divBdr>
        <w:top w:val="none" w:sz="0" w:space="0" w:color="auto"/>
        <w:left w:val="none" w:sz="0" w:space="0" w:color="auto"/>
        <w:bottom w:val="none" w:sz="0" w:space="0" w:color="auto"/>
        <w:right w:val="none" w:sz="0" w:space="0" w:color="auto"/>
      </w:divBdr>
    </w:div>
    <w:div w:id="15505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lleborg.com/offsho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trelleborg-offsho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OffshoreInsigh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uth.clay@trelleborg.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9AC3F88807B4E8AA99483D3A3C12C" ma:contentTypeVersion="0" ma:contentTypeDescription="Create a new document." ma:contentTypeScope="" ma:versionID="a88611c327a7adbd8a1eb56464691b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3816-A916-4D88-9B1D-DF5AF7D8C571}">
  <ds:schemaRefs>
    <ds:schemaRef ds:uri="http://schemas.microsoft.com/sharepoint/v3/contenttype/forms"/>
  </ds:schemaRefs>
</ds:datastoreItem>
</file>

<file path=customXml/itemProps2.xml><?xml version="1.0" encoding="utf-8"?>
<ds:datastoreItem xmlns:ds="http://schemas.openxmlformats.org/officeDocument/2006/customXml" ds:itemID="{723FF6EA-726B-4F0B-BCD6-4CBFC1298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C641B7-C074-4C88-ACA6-C83AA9081A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150890-43B6-4170-B6AE-D3E8D347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Gaskill</dc:creator>
  <cp:keywords/>
  <dc:description/>
  <cp:lastModifiedBy>Ruth Clay</cp:lastModifiedBy>
  <cp:revision>2</cp:revision>
  <cp:lastPrinted>2017-05-30T16:48:00Z</cp:lastPrinted>
  <dcterms:created xsi:type="dcterms:W3CDTF">2018-03-13T14:40:00Z</dcterms:created>
  <dcterms:modified xsi:type="dcterms:W3CDTF">2018-03-13T14:40:00Z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0x010100BFD9AC3F88807B4E8AA99483D3A3C12C</vt:lpwstr>
  </property>
  <property fmtid="{D5CDD505-2E9C-101B-9397-08002B2CF9AE}" pid="3" name="Addo_DocID">
    <vt:lpwstr>47d532ae-da4b-4a10-b830-f72dedf04616</vt:lpwstr>
  </property>
</Properties>
</file>