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5D086" w14:textId="77777777" w:rsidR="00EB5839" w:rsidRPr="00C57E84" w:rsidRDefault="00EB5839" w:rsidP="00773B12">
      <w:pPr>
        <w:rPr>
          <w:rFonts w:ascii="Arial" w:hAnsi="Arial" w:cs="Arial"/>
          <w:b/>
          <w:iCs/>
          <w:sz w:val="22"/>
          <w:szCs w:val="22"/>
        </w:rPr>
      </w:pPr>
    </w:p>
    <w:p w14:paraId="4925D088" w14:textId="78379087" w:rsidR="00773B12" w:rsidRPr="00E30FB2" w:rsidRDefault="00CE4F7A" w:rsidP="00D418C4">
      <w:pPr>
        <w:spacing w:line="360" w:lineRule="auto"/>
        <w:jc w:val="center"/>
        <w:rPr>
          <w:rFonts w:ascii="Arial" w:hAnsi="Arial" w:cs="Arial"/>
          <w:b/>
          <w:iCs/>
          <w:sz w:val="24"/>
          <w:szCs w:val="22"/>
        </w:rPr>
      </w:pPr>
      <w:r w:rsidRPr="00E30FB2">
        <w:rPr>
          <w:rFonts w:ascii="Arial" w:hAnsi="Arial" w:cs="Arial"/>
          <w:b/>
          <w:iCs/>
          <w:sz w:val="24"/>
          <w:szCs w:val="22"/>
        </w:rPr>
        <w:t xml:space="preserve">Trelleborg </w:t>
      </w:r>
      <w:r w:rsidR="00E71EDC">
        <w:rPr>
          <w:rFonts w:ascii="Arial" w:hAnsi="Arial" w:cs="Arial"/>
          <w:b/>
          <w:iCs/>
          <w:sz w:val="24"/>
          <w:szCs w:val="22"/>
        </w:rPr>
        <w:t>Supports Engineers Developing Drug-eluting Devices</w:t>
      </w:r>
    </w:p>
    <w:p w14:paraId="4925D089" w14:textId="77777777" w:rsidR="00773B12" w:rsidRDefault="00773B12" w:rsidP="00773B12">
      <w:pPr>
        <w:jc w:val="both"/>
        <w:rPr>
          <w:rFonts w:ascii="Arial" w:hAnsi="Arial" w:cs="Arial"/>
          <w:sz w:val="22"/>
          <w:szCs w:val="22"/>
        </w:rPr>
      </w:pPr>
    </w:p>
    <w:p w14:paraId="5EE0B14A" w14:textId="3AE6C392" w:rsidR="00E71EDC" w:rsidRPr="00E71EDC" w:rsidRDefault="00E22F3F" w:rsidP="00E71EDC">
      <w:pPr>
        <w:pStyle w:val="Pa4"/>
        <w:spacing w:after="120" w:line="360" w:lineRule="auto"/>
        <w:jc w:val="both"/>
        <w:rPr>
          <w:rFonts w:ascii="Arial" w:hAnsi="Arial" w:cs="Arial"/>
          <w:color w:val="000000"/>
          <w:sz w:val="22"/>
          <w:szCs w:val="22"/>
        </w:rPr>
      </w:pPr>
      <w:r w:rsidRPr="00E71EDC">
        <w:rPr>
          <w:rFonts w:ascii="Arial" w:hAnsi="Arial" w:cs="Arial"/>
          <w:color w:val="000000"/>
          <w:sz w:val="22"/>
          <w:szCs w:val="22"/>
        </w:rPr>
        <w:t xml:space="preserve">Trelleborg Sealing Solutions </w:t>
      </w:r>
      <w:r w:rsidR="00E71EDC" w:rsidRPr="00E71EDC">
        <w:rPr>
          <w:rFonts w:ascii="Arial" w:hAnsi="Arial" w:cs="Arial"/>
          <w:color w:val="000000"/>
          <w:sz w:val="22"/>
          <w:szCs w:val="22"/>
        </w:rPr>
        <w:t>releases two whitepapers focused on the combination of silicone with Active Pharmaceutical Ingredients</w:t>
      </w:r>
      <w:r w:rsidR="00AE3CBE">
        <w:rPr>
          <w:rFonts w:ascii="Arial" w:hAnsi="Arial" w:cs="Arial"/>
          <w:color w:val="000000"/>
          <w:sz w:val="22"/>
          <w:szCs w:val="22"/>
        </w:rPr>
        <w:t xml:space="preserve"> (API</w:t>
      </w:r>
      <w:r w:rsidR="00E71EDC" w:rsidRPr="00E71EDC">
        <w:rPr>
          <w:rFonts w:ascii="Arial" w:hAnsi="Arial" w:cs="Arial"/>
          <w:color w:val="000000"/>
          <w:sz w:val="22"/>
          <w:szCs w:val="22"/>
        </w:rPr>
        <w:t xml:space="preserve">) that will support healthcare &amp; medical </w:t>
      </w:r>
      <w:r w:rsidR="003B56ED">
        <w:rPr>
          <w:rFonts w:ascii="Arial" w:hAnsi="Arial" w:cs="Arial"/>
          <w:color w:val="000000"/>
          <w:sz w:val="22"/>
          <w:szCs w:val="22"/>
        </w:rPr>
        <w:t xml:space="preserve">device </w:t>
      </w:r>
      <w:r w:rsidR="00E71EDC" w:rsidRPr="00E71EDC">
        <w:rPr>
          <w:rFonts w:ascii="Arial" w:hAnsi="Arial" w:cs="Arial"/>
          <w:color w:val="000000"/>
          <w:sz w:val="22"/>
          <w:szCs w:val="22"/>
        </w:rPr>
        <w:t xml:space="preserve">engineers </w:t>
      </w:r>
      <w:r w:rsidR="003B56ED">
        <w:rPr>
          <w:rFonts w:ascii="Arial" w:hAnsi="Arial" w:cs="Arial"/>
          <w:color w:val="000000"/>
          <w:sz w:val="22"/>
          <w:szCs w:val="22"/>
        </w:rPr>
        <w:t xml:space="preserve">and designers </w:t>
      </w:r>
      <w:r w:rsidR="00E71EDC" w:rsidRPr="00E71EDC">
        <w:rPr>
          <w:rFonts w:ascii="Arial" w:hAnsi="Arial" w:cs="Arial"/>
          <w:color w:val="000000"/>
          <w:sz w:val="22"/>
          <w:szCs w:val="22"/>
        </w:rPr>
        <w:t>involved in the development of drug-eluting devices.</w:t>
      </w:r>
    </w:p>
    <w:p w14:paraId="1F76F0DC" w14:textId="48627903" w:rsidR="00EC2EB2" w:rsidRPr="00630447" w:rsidRDefault="00FC0EF6" w:rsidP="00552B59">
      <w:pPr>
        <w:autoSpaceDE w:val="0"/>
        <w:autoSpaceDN w:val="0"/>
        <w:adjustRightInd w:val="0"/>
        <w:spacing w:after="120" w:line="360" w:lineRule="auto"/>
        <w:jc w:val="both"/>
        <w:rPr>
          <w:rFonts w:ascii="Arial" w:hAnsi="Arial" w:cs="Arial"/>
          <w:sz w:val="22"/>
        </w:rPr>
      </w:pPr>
      <w:r>
        <w:rPr>
          <w:rFonts w:ascii="Arial" w:hAnsi="Arial" w:cs="Arial"/>
          <w:sz w:val="22"/>
        </w:rPr>
        <w:t>Drew Gaillard</w:t>
      </w:r>
      <w:r w:rsidRPr="00630447">
        <w:rPr>
          <w:rFonts w:ascii="Arial" w:hAnsi="Arial" w:cs="Arial"/>
          <w:sz w:val="22"/>
        </w:rPr>
        <w:t xml:space="preserve">, </w:t>
      </w:r>
      <w:r>
        <w:rPr>
          <w:rFonts w:ascii="Arial" w:hAnsi="Arial" w:cs="Arial"/>
          <w:sz w:val="22"/>
        </w:rPr>
        <w:t>Global Director Healthcare &amp; Medical for Trelleborg Sealing Solutions</w:t>
      </w:r>
      <w:r w:rsidRPr="00630447">
        <w:rPr>
          <w:rFonts w:ascii="Arial" w:hAnsi="Arial" w:cs="Arial"/>
          <w:sz w:val="22"/>
        </w:rPr>
        <w:t>, says:</w:t>
      </w:r>
      <w:r>
        <w:rPr>
          <w:rFonts w:ascii="Arial" w:hAnsi="Arial" w:cs="Arial"/>
          <w:sz w:val="22"/>
        </w:rPr>
        <w:t xml:space="preserve"> “</w:t>
      </w:r>
      <w:r w:rsidR="00990867">
        <w:rPr>
          <w:rFonts w:ascii="Arial" w:hAnsi="Arial" w:cs="Arial"/>
          <w:sz w:val="22"/>
        </w:rPr>
        <w:t xml:space="preserve">The Healthcare market is driven </w:t>
      </w:r>
      <w:r w:rsidR="00990867" w:rsidRPr="00630447">
        <w:rPr>
          <w:rFonts w:ascii="Arial" w:hAnsi="Arial" w:cs="Arial"/>
          <w:sz w:val="22"/>
        </w:rPr>
        <w:t>by trends such as an aging population, increasing chronic disease, and global healthcare concerns related to obesity, diabetes and infectious diseases</w:t>
      </w:r>
      <w:r w:rsidR="00990867">
        <w:rPr>
          <w:rFonts w:ascii="Arial" w:hAnsi="Arial" w:cs="Arial"/>
          <w:sz w:val="22"/>
        </w:rPr>
        <w:t xml:space="preserve">. </w:t>
      </w:r>
      <w:r w:rsidR="0072347E" w:rsidRPr="00FC0EF6">
        <w:rPr>
          <w:rFonts w:ascii="Arial" w:eastAsiaTheme="minorHAnsi" w:hAnsi="Arial" w:cs="Arial"/>
          <w:sz w:val="22"/>
          <w:szCs w:val="22"/>
        </w:rPr>
        <w:t>With these trends comes other struggles for the medical community</w:t>
      </w:r>
      <w:r>
        <w:rPr>
          <w:rFonts w:ascii="Arial" w:eastAsiaTheme="minorHAnsi" w:hAnsi="Arial" w:cs="Arial"/>
          <w:sz w:val="22"/>
          <w:szCs w:val="22"/>
        </w:rPr>
        <w:t xml:space="preserve">, </w:t>
      </w:r>
      <w:r w:rsidR="0072347E" w:rsidRPr="00FC0EF6">
        <w:rPr>
          <w:rFonts w:ascii="Arial" w:eastAsiaTheme="minorHAnsi" w:hAnsi="Arial" w:cs="Arial"/>
          <w:sz w:val="22"/>
          <w:szCs w:val="22"/>
        </w:rPr>
        <w:t>such as an increase in catheter associated infections or the challenge of ensuring patient compliance with their medications. These trends and challenges have in turn led to the rapid innovation in drug device combination products, in particular those that elute regular, controlled doses of drugs precisely and consistently to a treatment area.”</w:t>
      </w:r>
      <w:r w:rsidR="0072347E">
        <w:rPr>
          <w:rFonts w:asciiTheme="minorHAnsi" w:eastAsiaTheme="minorHAnsi" w:hAnsiTheme="minorHAnsi" w:cstheme="minorBidi"/>
        </w:rPr>
        <w:t xml:space="preserve"> </w:t>
      </w:r>
    </w:p>
    <w:p w14:paraId="0FD369D3" w14:textId="7B17B181" w:rsidR="00FC0EF6" w:rsidRDefault="00552B59" w:rsidP="00E71EDC">
      <w:pPr>
        <w:autoSpaceDE w:val="0"/>
        <w:autoSpaceDN w:val="0"/>
        <w:adjustRightInd w:val="0"/>
        <w:spacing w:after="120" w:line="360" w:lineRule="auto"/>
        <w:jc w:val="both"/>
        <w:rPr>
          <w:rFonts w:ascii="Arial" w:hAnsi="Arial" w:cs="Arial"/>
          <w:sz w:val="22"/>
        </w:rPr>
      </w:pPr>
      <w:r w:rsidRPr="00630447">
        <w:rPr>
          <w:rFonts w:ascii="Arial" w:hAnsi="Arial" w:cs="Arial"/>
          <w:sz w:val="22"/>
        </w:rPr>
        <w:t>Drug-eluting</w:t>
      </w:r>
      <w:r w:rsidR="00AE3CBE" w:rsidRPr="00630447">
        <w:rPr>
          <w:rFonts w:ascii="Arial" w:hAnsi="Arial" w:cs="Arial"/>
          <w:sz w:val="22"/>
        </w:rPr>
        <w:t xml:space="preserve"> devices </w:t>
      </w:r>
      <w:r w:rsidR="00E71EDC" w:rsidRPr="00630447">
        <w:rPr>
          <w:rFonts w:ascii="Arial" w:hAnsi="Arial" w:cs="Arial"/>
          <w:sz w:val="22"/>
        </w:rPr>
        <w:t xml:space="preserve">can be produced in and by a variety of materials and processes. One of the most successful materials </w:t>
      </w:r>
      <w:r w:rsidR="005B40F0">
        <w:rPr>
          <w:rFonts w:ascii="Arial" w:hAnsi="Arial" w:cs="Arial"/>
          <w:sz w:val="22"/>
        </w:rPr>
        <w:t>in the design and</w:t>
      </w:r>
      <w:r w:rsidR="005B40F0" w:rsidRPr="00630447">
        <w:rPr>
          <w:rFonts w:ascii="Arial" w:hAnsi="Arial" w:cs="Arial"/>
          <w:sz w:val="22"/>
        </w:rPr>
        <w:t xml:space="preserve"> </w:t>
      </w:r>
      <w:r w:rsidR="00E71EDC" w:rsidRPr="00630447">
        <w:rPr>
          <w:rFonts w:ascii="Arial" w:hAnsi="Arial" w:cs="Arial"/>
          <w:sz w:val="22"/>
        </w:rPr>
        <w:t xml:space="preserve">production of combination products, in particular implantable ones, is silicone. </w:t>
      </w:r>
    </w:p>
    <w:p w14:paraId="39AB335D" w14:textId="71A55B19" w:rsidR="00AE3CBE" w:rsidRPr="00630447" w:rsidRDefault="00FC0EF6" w:rsidP="00E71EDC">
      <w:pPr>
        <w:autoSpaceDE w:val="0"/>
        <w:autoSpaceDN w:val="0"/>
        <w:adjustRightInd w:val="0"/>
        <w:spacing w:after="120" w:line="360" w:lineRule="auto"/>
        <w:jc w:val="both"/>
        <w:rPr>
          <w:rFonts w:ascii="Arial" w:hAnsi="Arial" w:cs="Arial"/>
          <w:sz w:val="22"/>
        </w:rPr>
      </w:pPr>
      <w:r>
        <w:rPr>
          <w:rFonts w:ascii="Arial" w:hAnsi="Arial" w:cs="Arial"/>
          <w:sz w:val="22"/>
        </w:rPr>
        <w:t xml:space="preserve">Gaillard continues: </w:t>
      </w:r>
      <w:r w:rsidR="0072347E">
        <w:rPr>
          <w:rFonts w:ascii="Arial" w:hAnsi="Arial" w:cs="Arial"/>
          <w:sz w:val="22"/>
        </w:rPr>
        <w:t>“</w:t>
      </w:r>
      <w:r w:rsidR="00AE3CBE" w:rsidRPr="00630447">
        <w:rPr>
          <w:rFonts w:ascii="Arial" w:hAnsi="Arial" w:cs="Arial"/>
          <w:sz w:val="22"/>
        </w:rPr>
        <w:t xml:space="preserve">Trelleborg Sealing Solutions is at the forefront of silicone drug-eluting </w:t>
      </w:r>
      <w:r w:rsidR="00552B59" w:rsidRPr="00630447">
        <w:rPr>
          <w:rFonts w:ascii="Arial" w:hAnsi="Arial" w:cs="Arial"/>
          <w:sz w:val="22"/>
        </w:rPr>
        <w:t>product</w:t>
      </w:r>
      <w:r w:rsidR="0072347E">
        <w:rPr>
          <w:rFonts w:ascii="Arial" w:hAnsi="Arial" w:cs="Arial"/>
          <w:sz w:val="22"/>
        </w:rPr>
        <w:t xml:space="preserve"> innovation</w:t>
      </w:r>
      <w:r w:rsidR="00AE3CBE" w:rsidRPr="00630447">
        <w:rPr>
          <w:rFonts w:ascii="Arial" w:hAnsi="Arial" w:cs="Arial"/>
          <w:sz w:val="22"/>
        </w:rPr>
        <w:t xml:space="preserve"> and ha</w:t>
      </w:r>
      <w:r w:rsidR="00552B59" w:rsidRPr="00630447">
        <w:rPr>
          <w:rFonts w:ascii="Arial" w:hAnsi="Arial" w:cs="Arial"/>
          <w:sz w:val="22"/>
        </w:rPr>
        <w:t>s</w:t>
      </w:r>
      <w:r w:rsidR="00AE3CBE" w:rsidRPr="00630447">
        <w:rPr>
          <w:rFonts w:ascii="Arial" w:hAnsi="Arial" w:cs="Arial"/>
          <w:sz w:val="22"/>
        </w:rPr>
        <w:t xml:space="preserve"> </w:t>
      </w:r>
      <w:r w:rsidR="00C077D6">
        <w:rPr>
          <w:rFonts w:ascii="Arial" w:hAnsi="Arial" w:cs="Arial"/>
          <w:sz w:val="22"/>
        </w:rPr>
        <w:t>studied</w:t>
      </w:r>
      <w:r w:rsidR="00C077D6" w:rsidRPr="00630447">
        <w:rPr>
          <w:rFonts w:ascii="Arial" w:hAnsi="Arial" w:cs="Arial"/>
          <w:sz w:val="22"/>
        </w:rPr>
        <w:t xml:space="preserve"> </w:t>
      </w:r>
      <w:r w:rsidR="00AE3CBE" w:rsidRPr="00630447">
        <w:rPr>
          <w:rFonts w:ascii="Arial" w:hAnsi="Arial" w:cs="Arial"/>
          <w:sz w:val="22"/>
        </w:rPr>
        <w:t xml:space="preserve">the different methods of combining silicone with </w:t>
      </w:r>
      <w:r w:rsidR="005B40F0">
        <w:rPr>
          <w:rFonts w:ascii="Arial" w:hAnsi="Arial" w:cs="Arial"/>
          <w:sz w:val="22"/>
        </w:rPr>
        <w:t xml:space="preserve">an </w:t>
      </w:r>
      <w:r w:rsidR="00AE3CBE" w:rsidRPr="00630447">
        <w:rPr>
          <w:rFonts w:ascii="Arial" w:hAnsi="Arial" w:cs="Arial"/>
          <w:sz w:val="22"/>
        </w:rPr>
        <w:t xml:space="preserve">API. </w:t>
      </w:r>
      <w:r w:rsidR="005B40F0">
        <w:rPr>
          <w:rFonts w:ascii="Arial" w:hAnsi="Arial" w:cs="Arial"/>
          <w:sz w:val="22"/>
        </w:rPr>
        <w:t>The r</w:t>
      </w:r>
      <w:r w:rsidR="005B40F0" w:rsidRPr="00630447">
        <w:rPr>
          <w:rFonts w:ascii="Arial" w:hAnsi="Arial" w:cs="Arial"/>
          <w:sz w:val="22"/>
        </w:rPr>
        <w:t xml:space="preserve">esults </w:t>
      </w:r>
      <w:r w:rsidR="00AE3CBE" w:rsidRPr="00630447">
        <w:rPr>
          <w:rFonts w:ascii="Arial" w:hAnsi="Arial" w:cs="Arial"/>
          <w:sz w:val="22"/>
        </w:rPr>
        <w:t>of test</w:t>
      </w:r>
      <w:r w:rsidR="005B40F0">
        <w:rPr>
          <w:rFonts w:ascii="Arial" w:hAnsi="Arial" w:cs="Arial"/>
          <w:sz w:val="22"/>
        </w:rPr>
        <w:t xml:space="preserve">ing </w:t>
      </w:r>
      <w:r w:rsidR="00552B59" w:rsidRPr="00630447">
        <w:rPr>
          <w:rFonts w:ascii="Arial" w:hAnsi="Arial" w:cs="Arial"/>
          <w:sz w:val="22"/>
        </w:rPr>
        <w:t xml:space="preserve">on the immersion method </w:t>
      </w:r>
      <w:r w:rsidR="00AE3CBE" w:rsidRPr="00630447">
        <w:rPr>
          <w:rFonts w:ascii="Arial" w:hAnsi="Arial" w:cs="Arial"/>
          <w:sz w:val="22"/>
        </w:rPr>
        <w:t xml:space="preserve">are now available to engineers and designers working in </w:t>
      </w:r>
      <w:r w:rsidR="0072347E">
        <w:rPr>
          <w:rFonts w:ascii="Arial" w:hAnsi="Arial" w:cs="Arial"/>
          <w:sz w:val="22"/>
        </w:rPr>
        <w:t>the</w:t>
      </w:r>
      <w:r w:rsidR="00AE3CBE" w:rsidRPr="00630447">
        <w:rPr>
          <w:rFonts w:ascii="Arial" w:hAnsi="Arial" w:cs="Arial"/>
          <w:sz w:val="22"/>
        </w:rPr>
        <w:t xml:space="preserve"> healthcare &amp; medical field.”</w:t>
      </w:r>
    </w:p>
    <w:p w14:paraId="5CFA6C5F" w14:textId="34993FDA" w:rsidR="00E71EDC" w:rsidRPr="00630447" w:rsidRDefault="00AE3CBE" w:rsidP="00E71EDC">
      <w:pPr>
        <w:autoSpaceDE w:val="0"/>
        <w:autoSpaceDN w:val="0"/>
        <w:adjustRightInd w:val="0"/>
        <w:spacing w:after="120" w:line="360" w:lineRule="auto"/>
        <w:jc w:val="both"/>
        <w:rPr>
          <w:rFonts w:ascii="Arial" w:hAnsi="Arial" w:cs="Arial"/>
          <w:sz w:val="22"/>
        </w:rPr>
      </w:pPr>
      <w:r w:rsidRPr="00630447">
        <w:rPr>
          <w:rFonts w:ascii="Arial" w:hAnsi="Arial" w:cs="Arial"/>
          <w:sz w:val="22"/>
        </w:rPr>
        <w:t xml:space="preserve">In the whitepaper </w:t>
      </w:r>
      <w:r w:rsidR="00BC5939" w:rsidRPr="00630447">
        <w:rPr>
          <w:rFonts w:ascii="Arial" w:hAnsi="Arial" w:cs="Arial"/>
          <w:i/>
          <w:sz w:val="22"/>
        </w:rPr>
        <w:t>Supporting the Advancement of Drug-Eluting Devices</w:t>
      </w:r>
      <w:r w:rsidRPr="00630447">
        <w:rPr>
          <w:rFonts w:ascii="Arial" w:hAnsi="Arial" w:cs="Arial"/>
          <w:sz w:val="22"/>
        </w:rPr>
        <w:t xml:space="preserve">, </w:t>
      </w:r>
      <w:r w:rsidR="00552B59" w:rsidRPr="00630447">
        <w:rPr>
          <w:rFonts w:ascii="Arial" w:hAnsi="Arial" w:cs="Arial"/>
          <w:sz w:val="22"/>
        </w:rPr>
        <w:t>t</w:t>
      </w:r>
      <w:r w:rsidR="00E71EDC" w:rsidRPr="00630447">
        <w:rPr>
          <w:rFonts w:ascii="Arial" w:hAnsi="Arial" w:cs="Arial"/>
          <w:sz w:val="22"/>
        </w:rPr>
        <w:t>wo methods of adding Active Pharmaceutical Ingredients (API) to silicone, the addition of API to raw silicone and the impregnation of vulcanized silicone with API by immersion, are discussed.</w:t>
      </w:r>
    </w:p>
    <w:p w14:paraId="0E1C52A7" w14:textId="6FA4B6D4" w:rsidR="00E71EDC" w:rsidRPr="00630447" w:rsidRDefault="00E71EDC" w:rsidP="00E71EDC">
      <w:pPr>
        <w:autoSpaceDE w:val="0"/>
        <w:autoSpaceDN w:val="0"/>
        <w:adjustRightInd w:val="0"/>
        <w:spacing w:after="120" w:line="360" w:lineRule="auto"/>
        <w:jc w:val="both"/>
        <w:rPr>
          <w:rFonts w:ascii="Arial" w:hAnsi="Arial" w:cs="Arial"/>
          <w:sz w:val="22"/>
        </w:rPr>
      </w:pPr>
      <w:r w:rsidRPr="00630447">
        <w:rPr>
          <w:rFonts w:ascii="Arial" w:hAnsi="Arial" w:cs="Arial"/>
          <w:sz w:val="22"/>
        </w:rPr>
        <w:t xml:space="preserve">The traditional method of adding API to </w:t>
      </w:r>
      <w:r w:rsidR="005B40F0">
        <w:rPr>
          <w:rFonts w:ascii="Arial" w:hAnsi="Arial" w:cs="Arial"/>
          <w:sz w:val="22"/>
        </w:rPr>
        <w:t xml:space="preserve">uncured </w:t>
      </w:r>
      <w:r w:rsidRPr="00630447">
        <w:rPr>
          <w:rFonts w:ascii="Arial" w:hAnsi="Arial" w:cs="Arial"/>
          <w:sz w:val="22"/>
        </w:rPr>
        <w:t xml:space="preserve">silicone is proven and effective. However, it is limited to API that are resistant to a vulcanization process and exposure to heat. A newer method of impregnation of vulcanized silicone by API, potentially broadens the APIs that can be used in drug-eluting silicone devices. This whitepaper presents test results that prove </w:t>
      </w:r>
      <w:r w:rsidR="00C077D6">
        <w:rPr>
          <w:rFonts w:ascii="Arial" w:hAnsi="Arial" w:cs="Arial"/>
          <w:sz w:val="22"/>
        </w:rPr>
        <w:t xml:space="preserve">the effectiveness of </w:t>
      </w:r>
      <w:r w:rsidRPr="00630447">
        <w:rPr>
          <w:rFonts w:ascii="Arial" w:hAnsi="Arial" w:cs="Arial"/>
          <w:sz w:val="22"/>
        </w:rPr>
        <w:t>this method, potentially opening drug-eluting devices to delivery of a wider range of API.</w:t>
      </w:r>
    </w:p>
    <w:p w14:paraId="0D5BFD86" w14:textId="1584E9FC" w:rsidR="00E71EDC" w:rsidRPr="00630447" w:rsidRDefault="00AE3CBE" w:rsidP="00AE3CBE">
      <w:pPr>
        <w:spacing w:after="120" w:line="360" w:lineRule="auto"/>
        <w:jc w:val="both"/>
        <w:rPr>
          <w:rFonts w:ascii="Arial" w:hAnsi="Arial" w:cs="Arial"/>
          <w:sz w:val="22"/>
        </w:rPr>
      </w:pPr>
      <w:r w:rsidRPr="00630447">
        <w:rPr>
          <w:rFonts w:ascii="Arial" w:hAnsi="Arial" w:cs="Arial"/>
          <w:color w:val="000000"/>
          <w:sz w:val="22"/>
        </w:rPr>
        <w:t>The second whitepaper,</w:t>
      </w:r>
      <w:r w:rsidR="00E71EDC" w:rsidRPr="00630447">
        <w:rPr>
          <w:rFonts w:ascii="Arial" w:hAnsi="Arial" w:cs="Arial"/>
          <w:b/>
          <w:color w:val="000000"/>
          <w:sz w:val="22"/>
        </w:rPr>
        <w:t xml:space="preserve"> </w:t>
      </w:r>
      <w:r w:rsidR="00BC5939" w:rsidRPr="00630447">
        <w:rPr>
          <w:rFonts w:ascii="Arial" w:hAnsi="Arial" w:cs="Arial"/>
          <w:i/>
          <w:color w:val="000000"/>
          <w:sz w:val="22"/>
        </w:rPr>
        <w:t>Fighting Hospital Acquired Infection</w:t>
      </w:r>
      <w:r w:rsidRPr="00630447">
        <w:rPr>
          <w:rFonts w:ascii="Arial" w:hAnsi="Arial" w:cs="Arial"/>
          <w:color w:val="000000"/>
          <w:sz w:val="22"/>
        </w:rPr>
        <w:t xml:space="preserve">, focuses on </w:t>
      </w:r>
      <w:r w:rsidR="00E71EDC" w:rsidRPr="00630447">
        <w:rPr>
          <w:rFonts w:ascii="Arial" w:hAnsi="Arial" w:cs="Arial"/>
          <w:sz w:val="22"/>
        </w:rPr>
        <w:t>Healthcare-Associated Infections (HAI).</w:t>
      </w:r>
      <w:r w:rsidRPr="00630447">
        <w:rPr>
          <w:rFonts w:ascii="Arial" w:hAnsi="Arial" w:cs="Arial"/>
          <w:sz w:val="22"/>
        </w:rPr>
        <w:t xml:space="preserve"> </w:t>
      </w:r>
      <w:r w:rsidR="00C077D6">
        <w:rPr>
          <w:rFonts w:ascii="Arial" w:hAnsi="Arial" w:cs="Arial"/>
          <w:sz w:val="22"/>
        </w:rPr>
        <w:t xml:space="preserve">Although combatting </w:t>
      </w:r>
      <w:r w:rsidR="00E71EDC" w:rsidRPr="00630447">
        <w:rPr>
          <w:rFonts w:ascii="Arial" w:hAnsi="Arial" w:cs="Arial"/>
          <w:sz w:val="22"/>
        </w:rPr>
        <w:t>hospital-acquired infections</w:t>
      </w:r>
      <w:r w:rsidR="00C077D6">
        <w:rPr>
          <w:rFonts w:ascii="Arial" w:hAnsi="Arial" w:cs="Arial"/>
          <w:sz w:val="22"/>
        </w:rPr>
        <w:t xml:space="preserve"> has been a focus for the medical community</w:t>
      </w:r>
      <w:r w:rsidR="00E71EDC" w:rsidRPr="00630447">
        <w:rPr>
          <w:rFonts w:ascii="Arial" w:hAnsi="Arial" w:cs="Arial"/>
          <w:sz w:val="22"/>
        </w:rPr>
        <w:t>, they still remain a significant issue. In particular,</w:t>
      </w:r>
      <w:r w:rsidR="00EC2EB2">
        <w:rPr>
          <w:rFonts w:ascii="Arial" w:hAnsi="Arial" w:cs="Arial"/>
          <w:sz w:val="22"/>
        </w:rPr>
        <w:t xml:space="preserve"> </w:t>
      </w:r>
      <w:r w:rsidR="00E71EDC" w:rsidRPr="00630447">
        <w:rPr>
          <w:rFonts w:ascii="Arial" w:hAnsi="Arial" w:cs="Arial"/>
          <w:sz w:val="22"/>
        </w:rPr>
        <w:t>catheter-</w:t>
      </w:r>
      <w:r w:rsidR="00E71EDC" w:rsidRPr="00630447">
        <w:rPr>
          <w:rFonts w:ascii="Arial" w:hAnsi="Arial" w:cs="Arial"/>
          <w:sz w:val="22"/>
        </w:rPr>
        <w:lastRenderedPageBreak/>
        <w:t xml:space="preserve">associated infections are difficult to prevent due to </w:t>
      </w:r>
      <w:r w:rsidR="00C077D6">
        <w:rPr>
          <w:rFonts w:ascii="Arial" w:hAnsi="Arial" w:cs="Arial"/>
          <w:sz w:val="22"/>
        </w:rPr>
        <w:t>a catheter’s</w:t>
      </w:r>
      <w:r w:rsidR="00C077D6" w:rsidRPr="00630447">
        <w:rPr>
          <w:rFonts w:ascii="Arial" w:hAnsi="Arial" w:cs="Arial"/>
          <w:sz w:val="22"/>
        </w:rPr>
        <w:t xml:space="preserve"> </w:t>
      </w:r>
      <w:r w:rsidR="00E71EDC" w:rsidRPr="00630447">
        <w:rPr>
          <w:rFonts w:ascii="Arial" w:hAnsi="Arial" w:cs="Arial"/>
          <w:sz w:val="22"/>
        </w:rPr>
        <w:t>inherent positioning</w:t>
      </w:r>
      <w:r w:rsidR="0072347E">
        <w:rPr>
          <w:rFonts w:ascii="Arial" w:hAnsi="Arial" w:cs="Arial"/>
          <w:sz w:val="22"/>
        </w:rPr>
        <w:t>:</w:t>
      </w:r>
      <w:r w:rsidR="00E71EDC" w:rsidRPr="00630447">
        <w:rPr>
          <w:rFonts w:ascii="Arial" w:hAnsi="Arial" w:cs="Arial"/>
          <w:sz w:val="22"/>
        </w:rPr>
        <w:t xml:space="preserve"> part in and part out of the body.</w:t>
      </w:r>
    </w:p>
    <w:p w14:paraId="1D19BFD8" w14:textId="1D06E0D3" w:rsidR="00E71EDC" w:rsidRPr="00630447" w:rsidRDefault="00E71EDC" w:rsidP="00E71EDC">
      <w:pPr>
        <w:autoSpaceDE w:val="0"/>
        <w:autoSpaceDN w:val="0"/>
        <w:adjustRightInd w:val="0"/>
        <w:spacing w:after="120" w:line="360" w:lineRule="auto"/>
        <w:jc w:val="both"/>
        <w:rPr>
          <w:rFonts w:ascii="Arial" w:hAnsi="Arial" w:cs="Arial"/>
          <w:sz w:val="22"/>
        </w:rPr>
      </w:pPr>
      <w:r w:rsidRPr="00630447">
        <w:rPr>
          <w:rFonts w:ascii="Arial" w:hAnsi="Arial" w:cs="Arial"/>
          <w:sz w:val="22"/>
        </w:rPr>
        <w:t xml:space="preserve">Silicone is </w:t>
      </w:r>
      <w:r w:rsidR="0072347E">
        <w:rPr>
          <w:rFonts w:ascii="Arial" w:hAnsi="Arial" w:cs="Arial"/>
          <w:sz w:val="22"/>
        </w:rPr>
        <w:t>often</w:t>
      </w:r>
      <w:r w:rsidR="0072347E" w:rsidRPr="00630447">
        <w:rPr>
          <w:rFonts w:ascii="Arial" w:hAnsi="Arial" w:cs="Arial"/>
          <w:sz w:val="22"/>
        </w:rPr>
        <w:t xml:space="preserve"> </w:t>
      </w:r>
      <w:r w:rsidRPr="00630447">
        <w:rPr>
          <w:rFonts w:ascii="Arial" w:hAnsi="Arial" w:cs="Arial"/>
          <w:sz w:val="22"/>
        </w:rPr>
        <w:t>used for the catheter tubes and though the material is biocompatible and biostable, it is not immune to bacterial colonization. Techniques exist that can reduce this colonization including coating, addition of antibiotic API to raw silicone and the impregnation of vulcanized silicone with API through immersion. In this whitepaper the three techniques are evaluated</w:t>
      </w:r>
      <w:r w:rsidR="0072347E">
        <w:rPr>
          <w:rFonts w:ascii="Arial" w:hAnsi="Arial" w:cs="Arial"/>
          <w:sz w:val="22"/>
        </w:rPr>
        <w:t xml:space="preserve"> and Trelleborg shares its results from an effectiveness study of the impregnation methodology</w:t>
      </w:r>
      <w:r w:rsidR="00FC0EF6">
        <w:rPr>
          <w:rFonts w:ascii="Arial" w:hAnsi="Arial" w:cs="Arial"/>
          <w:sz w:val="22"/>
        </w:rPr>
        <w:t>.</w:t>
      </w:r>
    </w:p>
    <w:p w14:paraId="4925D093" w14:textId="4DE44EAD" w:rsidR="00146C70" w:rsidRPr="00590FFC" w:rsidRDefault="00E71EDC" w:rsidP="003060FB">
      <w:pPr>
        <w:autoSpaceDE w:val="0"/>
        <w:autoSpaceDN w:val="0"/>
        <w:adjustRightInd w:val="0"/>
        <w:spacing w:after="120" w:line="360" w:lineRule="auto"/>
        <w:jc w:val="both"/>
        <w:rPr>
          <w:rFonts w:ascii="Arial" w:hAnsi="Arial" w:cs="Arial"/>
          <w:sz w:val="22"/>
          <w:szCs w:val="22"/>
        </w:rPr>
      </w:pPr>
      <w:r w:rsidRPr="00590FFC">
        <w:rPr>
          <w:rFonts w:ascii="Arial" w:hAnsi="Arial" w:cs="Arial"/>
          <w:sz w:val="22"/>
          <w:szCs w:val="22"/>
        </w:rPr>
        <w:t>The two whitepapers</w:t>
      </w:r>
      <w:r w:rsidR="00AE3CBE" w:rsidRPr="00590FFC">
        <w:rPr>
          <w:rFonts w:ascii="Arial" w:hAnsi="Arial" w:cs="Arial"/>
          <w:sz w:val="22"/>
          <w:szCs w:val="22"/>
        </w:rPr>
        <w:t>,</w:t>
      </w:r>
      <w:r w:rsidRPr="00590FFC">
        <w:rPr>
          <w:rFonts w:ascii="Arial" w:hAnsi="Arial" w:cs="Arial"/>
          <w:sz w:val="22"/>
          <w:szCs w:val="22"/>
        </w:rPr>
        <w:t xml:space="preserve"> </w:t>
      </w:r>
      <w:r w:rsidR="00BC5939" w:rsidRPr="00590FFC">
        <w:rPr>
          <w:rFonts w:ascii="Arial" w:hAnsi="Arial" w:cs="Arial"/>
          <w:i/>
          <w:sz w:val="22"/>
          <w:szCs w:val="22"/>
        </w:rPr>
        <w:t>Supporting the Advancement of Drug-Eluting Devices</w:t>
      </w:r>
      <w:r w:rsidR="00AE3CBE" w:rsidRPr="00590FFC">
        <w:rPr>
          <w:rFonts w:ascii="Arial" w:hAnsi="Arial" w:cs="Arial"/>
          <w:sz w:val="22"/>
          <w:szCs w:val="22"/>
        </w:rPr>
        <w:t xml:space="preserve"> and </w:t>
      </w:r>
      <w:r w:rsidR="00BC5939" w:rsidRPr="00590FFC">
        <w:rPr>
          <w:rFonts w:ascii="Arial" w:hAnsi="Arial" w:cs="Arial"/>
          <w:i/>
          <w:color w:val="000000"/>
          <w:sz w:val="22"/>
          <w:szCs w:val="22"/>
        </w:rPr>
        <w:t>Fighting Hospital Acquired Infection</w:t>
      </w:r>
      <w:r w:rsidR="00AE3CBE" w:rsidRPr="00590FFC">
        <w:rPr>
          <w:rFonts w:ascii="Arial" w:hAnsi="Arial" w:cs="Arial"/>
          <w:color w:val="000000"/>
          <w:sz w:val="22"/>
          <w:szCs w:val="22"/>
        </w:rPr>
        <w:t>,</w:t>
      </w:r>
      <w:r w:rsidR="00AE3CBE" w:rsidRPr="00590FFC">
        <w:rPr>
          <w:rFonts w:ascii="Arial" w:hAnsi="Arial" w:cs="Arial"/>
          <w:sz w:val="22"/>
          <w:szCs w:val="22"/>
        </w:rPr>
        <w:t xml:space="preserve"> </w:t>
      </w:r>
      <w:r w:rsidRPr="00590FFC">
        <w:rPr>
          <w:rFonts w:ascii="Arial" w:hAnsi="Arial" w:cs="Arial"/>
          <w:sz w:val="22"/>
          <w:szCs w:val="22"/>
        </w:rPr>
        <w:t xml:space="preserve">are the latest additions to the Trelleborg Sealing Solutions technical area that contains valuable resources for the engineer </w:t>
      </w:r>
      <w:r w:rsidR="0046038D" w:rsidRPr="00590FFC">
        <w:rPr>
          <w:rFonts w:ascii="Arial" w:hAnsi="Arial" w:cs="Arial"/>
          <w:sz w:val="22"/>
          <w:szCs w:val="22"/>
        </w:rPr>
        <w:t>and</w:t>
      </w:r>
      <w:r w:rsidRPr="00590FFC">
        <w:rPr>
          <w:rFonts w:ascii="Arial" w:hAnsi="Arial" w:cs="Arial"/>
          <w:sz w:val="22"/>
          <w:szCs w:val="22"/>
        </w:rPr>
        <w:t xml:space="preserve"> designer. Registration </w:t>
      </w:r>
      <w:r w:rsidR="0046038D" w:rsidRPr="00590FFC">
        <w:rPr>
          <w:rFonts w:ascii="Arial" w:hAnsi="Arial" w:cs="Arial"/>
          <w:sz w:val="22"/>
          <w:szCs w:val="22"/>
        </w:rPr>
        <w:t xml:space="preserve">and access to all resources </w:t>
      </w:r>
      <w:r w:rsidRPr="00590FFC">
        <w:rPr>
          <w:rFonts w:ascii="Arial" w:hAnsi="Arial" w:cs="Arial"/>
          <w:sz w:val="22"/>
          <w:szCs w:val="22"/>
        </w:rPr>
        <w:t xml:space="preserve">is free. Go to </w:t>
      </w:r>
      <w:hyperlink r:id="rId9" w:history="1">
        <w:r w:rsidR="00590FFC" w:rsidRPr="00590FFC">
          <w:rPr>
            <w:rStyle w:val="Hyperlink"/>
            <w:rFonts w:ascii="Arial" w:hAnsi="Arial" w:cs="Arial"/>
            <w:color w:val="000000"/>
            <w:sz w:val="22"/>
            <w:szCs w:val="22"/>
          </w:rPr>
          <w:t>http://www.trelleborg-lifesciences.com/en/tools_and_media/whitepapers/whitepapers_1.html</w:t>
        </w:r>
      </w:hyperlink>
      <w:r w:rsidRPr="00590FFC">
        <w:rPr>
          <w:rFonts w:ascii="Arial" w:hAnsi="Arial" w:cs="Arial"/>
          <w:sz w:val="22"/>
          <w:szCs w:val="22"/>
        </w:rPr>
        <w:t xml:space="preserve"> for further information and to download the whitepapers.</w:t>
      </w:r>
      <w:bookmarkStart w:id="0" w:name="_GoBack"/>
      <w:bookmarkEnd w:id="0"/>
    </w:p>
    <w:p w14:paraId="4925D094" w14:textId="77777777" w:rsidR="00773B12" w:rsidRPr="00CE4F7A" w:rsidRDefault="00773B12" w:rsidP="00773B12">
      <w:pPr>
        <w:spacing w:line="360" w:lineRule="auto"/>
        <w:ind w:right="288"/>
        <w:jc w:val="center"/>
        <w:rPr>
          <w:rFonts w:ascii="Arial" w:hAnsi="Arial" w:cs="Arial"/>
          <w:b/>
          <w:sz w:val="22"/>
          <w:szCs w:val="22"/>
        </w:rPr>
      </w:pPr>
      <w:r w:rsidRPr="00CE4F7A">
        <w:rPr>
          <w:rFonts w:ascii="Arial" w:hAnsi="Arial" w:cs="Arial"/>
          <w:b/>
          <w:sz w:val="22"/>
          <w:szCs w:val="22"/>
        </w:rPr>
        <w:t>-Ends-</w:t>
      </w:r>
    </w:p>
    <w:p w14:paraId="4925D095" w14:textId="77777777" w:rsidR="00773B12" w:rsidRPr="00C32A58" w:rsidRDefault="00773B12" w:rsidP="00773B12">
      <w:pPr>
        <w:rPr>
          <w:rFonts w:asciiTheme="minorHAnsi" w:hAnsiTheme="minorHAnsi" w:cstheme="minorHAnsi"/>
          <w:b/>
          <w:sz w:val="16"/>
          <w:szCs w:val="20"/>
          <w:lang w:val="en-GB"/>
        </w:rPr>
      </w:pPr>
    </w:p>
    <w:p w14:paraId="7C5EEA69" w14:textId="77777777" w:rsidR="002B4DE6" w:rsidRPr="007E2646" w:rsidRDefault="002B4DE6" w:rsidP="002B4DE6">
      <w:pPr>
        <w:ind w:right="142"/>
        <w:rPr>
          <w:rFonts w:ascii="Arial" w:hAnsi="Arial" w:cs="Arial"/>
          <w:sz w:val="18"/>
          <w:szCs w:val="18"/>
        </w:rPr>
      </w:pPr>
      <w:r w:rsidRPr="007E2646">
        <w:rPr>
          <w:rFonts w:ascii="Arial" w:hAnsi="Arial" w:cs="Arial"/>
          <w:sz w:val="18"/>
          <w:szCs w:val="18"/>
        </w:rPr>
        <w:t xml:space="preserve">For </w:t>
      </w:r>
      <w:r w:rsidRPr="007E2646">
        <w:rPr>
          <w:rFonts w:ascii="Arial" w:hAnsi="Arial" w:cs="Arial"/>
          <w:b/>
          <w:sz w:val="18"/>
          <w:szCs w:val="18"/>
        </w:rPr>
        <w:t>more information</w:t>
      </w:r>
      <w:r w:rsidRPr="007E2646">
        <w:rPr>
          <w:rFonts w:ascii="Arial" w:hAnsi="Arial" w:cs="Arial"/>
          <w:sz w:val="18"/>
          <w:szCs w:val="18"/>
        </w:rPr>
        <w:t xml:space="preserve"> or </w:t>
      </w:r>
      <w:r w:rsidRPr="007E2646">
        <w:rPr>
          <w:rFonts w:ascii="Arial" w:hAnsi="Arial" w:cs="Arial"/>
          <w:b/>
          <w:sz w:val="18"/>
          <w:szCs w:val="18"/>
        </w:rPr>
        <w:t>high resolution</w:t>
      </w:r>
      <w:r w:rsidRPr="007E2646">
        <w:rPr>
          <w:rFonts w:ascii="Arial" w:hAnsi="Arial" w:cs="Arial"/>
          <w:sz w:val="18"/>
          <w:szCs w:val="18"/>
        </w:rPr>
        <w:t xml:space="preserve"> pictures, please contact:</w:t>
      </w:r>
    </w:p>
    <w:p w14:paraId="6053BB33" w14:textId="77777777" w:rsidR="002B4DE6" w:rsidRPr="007E2646" w:rsidRDefault="002B4DE6" w:rsidP="002B4DE6">
      <w:pPr>
        <w:ind w:right="142"/>
        <w:rPr>
          <w:rFonts w:ascii="Arial" w:hAnsi="Arial" w:cs="Arial"/>
          <w:sz w:val="18"/>
          <w:szCs w:val="18"/>
        </w:rPr>
      </w:pPr>
      <w:r w:rsidRPr="007E2646">
        <w:rPr>
          <w:rFonts w:ascii="Arial" w:hAnsi="Arial" w:cs="Arial"/>
          <w:sz w:val="18"/>
          <w:szCs w:val="18"/>
        </w:rPr>
        <w:t>Tony O’Neil</w:t>
      </w:r>
    </w:p>
    <w:p w14:paraId="07417384" w14:textId="77777777" w:rsidR="002B4DE6" w:rsidRPr="007E2646" w:rsidRDefault="002B4DE6" w:rsidP="002B4DE6">
      <w:pPr>
        <w:ind w:right="142"/>
        <w:rPr>
          <w:rFonts w:ascii="Arial" w:hAnsi="Arial" w:cs="Arial"/>
          <w:sz w:val="18"/>
          <w:szCs w:val="18"/>
        </w:rPr>
      </w:pPr>
      <w:r w:rsidRPr="007E2646">
        <w:rPr>
          <w:rFonts w:ascii="Arial" w:hAnsi="Arial" w:cs="Arial"/>
          <w:sz w:val="18"/>
          <w:szCs w:val="18"/>
        </w:rPr>
        <w:t>Marketing &amp; Communications Manager</w:t>
      </w:r>
    </w:p>
    <w:p w14:paraId="74F93636" w14:textId="77777777" w:rsidR="002B4DE6" w:rsidRPr="007E2646" w:rsidRDefault="002B4DE6" w:rsidP="002B4DE6">
      <w:pPr>
        <w:ind w:right="142"/>
        <w:rPr>
          <w:rFonts w:ascii="Arial" w:hAnsi="Arial" w:cs="Arial"/>
          <w:sz w:val="18"/>
          <w:szCs w:val="18"/>
        </w:rPr>
      </w:pPr>
      <w:r w:rsidRPr="007E2646">
        <w:rPr>
          <w:rFonts w:ascii="Arial" w:hAnsi="Arial" w:cs="Arial"/>
          <w:sz w:val="18"/>
          <w:szCs w:val="18"/>
        </w:rPr>
        <w:t>Trelleborg Sealing Solutions Americas</w:t>
      </w:r>
    </w:p>
    <w:p w14:paraId="17A1BCB7" w14:textId="77777777" w:rsidR="002B4DE6" w:rsidRPr="007E2646" w:rsidRDefault="002B4DE6" w:rsidP="002B4DE6">
      <w:pPr>
        <w:ind w:right="142"/>
        <w:rPr>
          <w:rFonts w:ascii="Arial" w:hAnsi="Arial" w:cs="Arial"/>
          <w:sz w:val="18"/>
          <w:szCs w:val="18"/>
          <w:lang w:val="fr-FR"/>
        </w:rPr>
      </w:pPr>
      <w:r w:rsidRPr="007E2646">
        <w:rPr>
          <w:rFonts w:ascii="Arial" w:hAnsi="Arial" w:cs="Arial"/>
          <w:sz w:val="18"/>
          <w:szCs w:val="18"/>
          <w:lang w:val="fr-FR"/>
        </w:rPr>
        <w:t>Tel: + 1 260-748- 5752</w:t>
      </w:r>
    </w:p>
    <w:p w14:paraId="32D17F24" w14:textId="77777777" w:rsidR="002B4DE6" w:rsidRPr="007E2646" w:rsidRDefault="002B4DE6" w:rsidP="002B4DE6">
      <w:pPr>
        <w:spacing w:after="120"/>
        <w:ind w:right="144"/>
        <w:rPr>
          <w:rFonts w:ascii="Arial" w:hAnsi="Arial" w:cs="Arial"/>
          <w:sz w:val="18"/>
          <w:szCs w:val="18"/>
          <w:lang w:val="fr-FR"/>
        </w:rPr>
      </w:pPr>
      <w:r w:rsidRPr="007E2646">
        <w:rPr>
          <w:rFonts w:ascii="Arial" w:hAnsi="Arial" w:cs="Arial"/>
          <w:sz w:val="18"/>
          <w:szCs w:val="18"/>
          <w:lang w:val="fr-FR"/>
        </w:rPr>
        <w:t>Email: tony.oneil@trelleborg.com</w:t>
      </w:r>
    </w:p>
    <w:p w14:paraId="2A074692" w14:textId="77777777" w:rsidR="002B4DE6" w:rsidRPr="007E2646" w:rsidRDefault="002B4DE6" w:rsidP="002B4DE6">
      <w:pPr>
        <w:ind w:right="142"/>
        <w:rPr>
          <w:rFonts w:ascii="Arial" w:hAnsi="Arial" w:cs="Arial"/>
          <w:sz w:val="18"/>
          <w:szCs w:val="18"/>
        </w:rPr>
      </w:pPr>
      <w:r w:rsidRPr="007E2646">
        <w:rPr>
          <w:rFonts w:ascii="Arial" w:hAnsi="Arial" w:cs="Arial"/>
          <w:sz w:val="18"/>
          <w:szCs w:val="18"/>
        </w:rPr>
        <w:t xml:space="preserve">Press Release distributed in the Americas by: </w:t>
      </w:r>
    </w:p>
    <w:p w14:paraId="742B153E" w14:textId="77777777" w:rsidR="002B4DE6" w:rsidRPr="007E2646" w:rsidRDefault="002B4DE6" w:rsidP="002B4DE6">
      <w:pPr>
        <w:ind w:right="142"/>
        <w:rPr>
          <w:rFonts w:ascii="Arial" w:hAnsi="Arial" w:cs="Arial"/>
          <w:sz w:val="18"/>
          <w:szCs w:val="18"/>
        </w:rPr>
      </w:pPr>
      <w:r w:rsidRPr="007E2646">
        <w:rPr>
          <w:rFonts w:ascii="Arial" w:hAnsi="Arial" w:cs="Arial"/>
          <w:sz w:val="18"/>
          <w:szCs w:val="18"/>
        </w:rPr>
        <w:t>Valerie Harding</w:t>
      </w:r>
    </w:p>
    <w:p w14:paraId="33DAF34B" w14:textId="77777777" w:rsidR="002B4DE6" w:rsidRPr="007E2646" w:rsidRDefault="002B4DE6" w:rsidP="002B4DE6">
      <w:pPr>
        <w:ind w:right="142"/>
        <w:rPr>
          <w:rFonts w:ascii="Arial" w:hAnsi="Arial" w:cs="Arial"/>
          <w:sz w:val="18"/>
          <w:szCs w:val="18"/>
        </w:rPr>
      </w:pPr>
      <w:r w:rsidRPr="007E2646">
        <w:rPr>
          <w:rFonts w:ascii="Arial" w:hAnsi="Arial" w:cs="Arial"/>
          <w:sz w:val="18"/>
          <w:szCs w:val="18"/>
        </w:rPr>
        <w:t xml:space="preserve">Ripple Effect Communications </w:t>
      </w:r>
    </w:p>
    <w:p w14:paraId="71B4632D" w14:textId="77777777" w:rsidR="002B4DE6" w:rsidRPr="007E2646" w:rsidRDefault="002B4DE6" w:rsidP="002B4DE6">
      <w:pPr>
        <w:ind w:right="142"/>
        <w:rPr>
          <w:rFonts w:ascii="Arial" w:hAnsi="Arial" w:cs="Arial"/>
          <w:sz w:val="18"/>
          <w:szCs w:val="18"/>
        </w:rPr>
      </w:pPr>
      <w:r w:rsidRPr="007E2646">
        <w:rPr>
          <w:rFonts w:ascii="Arial" w:hAnsi="Arial" w:cs="Arial"/>
          <w:sz w:val="18"/>
          <w:szCs w:val="18"/>
        </w:rPr>
        <w:t xml:space="preserve">Tel: + 1 617- 536- 8887 </w:t>
      </w:r>
    </w:p>
    <w:p w14:paraId="304DBADF" w14:textId="77777777" w:rsidR="002B4DE6" w:rsidRPr="007E2646" w:rsidRDefault="002B4DE6" w:rsidP="002B4DE6">
      <w:pPr>
        <w:ind w:right="142"/>
        <w:rPr>
          <w:rFonts w:ascii="Arial" w:hAnsi="Arial" w:cs="Arial"/>
          <w:sz w:val="18"/>
          <w:szCs w:val="18"/>
        </w:rPr>
      </w:pPr>
      <w:r w:rsidRPr="007E2646">
        <w:rPr>
          <w:rFonts w:ascii="Arial" w:hAnsi="Arial" w:cs="Arial"/>
          <w:sz w:val="18"/>
          <w:szCs w:val="18"/>
        </w:rPr>
        <w:t>Email: Valerie@RippleEffectPR.com</w:t>
      </w:r>
    </w:p>
    <w:p w14:paraId="4925D09A" w14:textId="77777777" w:rsidR="00366F43" w:rsidRPr="00366F43" w:rsidRDefault="00366F43" w:rsidP="00366F43">
      <w:pPr>
        <w:tabs>
          <w:tab w:val="left" w:pos="2145"/>
        </w:tabs>
        <w:autoSpaceDE w:val="0"/>
        <w:autoSpaceDN w:val="0"/>
        <w:adjustRightInd w:val="0"/>
        <w:spacing w:after="200" w:line="276" w:lineRule="auto"/>
        <w:jc w:val="both"/>
        <w:rPr>
          <w:rFonts w:ascii="Arial" w:eastAsiaTheme="minorHAnsi" w:hAnsi="Arial" w:cs="Arial"/>
          <w:i/>
          <w:iCs/>
          <w:sz w:val="16"/>
          <w:szCs w:val="16"/>
        </w:rPr>
      </w:pPr>
    </w:p>
    <w:p w14:paraId="4925D09B" w14:textId="77777777" w:rsidR="00366F43" w:rsidRPr="00366F43" w:rsidRDefault="00366F43" w:rsidP="00366F43">
      <w:pPr>
        <w:tabs>
          <w:tab w:val="left" w:pos="2145"/>
        </w:tabs>
        <w:autoSpaceDE w:val="0"/>
        <w:autoSpaceDN w:val="0"/>
        <w:adjustRightInd w:val="0"/>
        <w:spacing w:after="200" w:line="360" w:lineRule="auto"/>
        <w:jc w:val="both"/>
        <w:rPr>
          <w:rFonts w:ascii="Arial" w:eastAsiaTheme="minorHAnsi" w:hAnsi="Arial" w:cs="Arial"/>
          <w:i/>
          <w:iCs/>
          <w:sz w:val="18"/>
          <w:szCs w:val="18"/>
        </w:rPr>
      </w:pPr>
      <w:r w:rsidRPr="00366F43">
        <w:rPr>
          <w:rFonts w:ascii="Arial" w:eastAsiaTheme="minorHAnsi" w:hAnsi="Arial" w:cs="Arial"/>
          <w:b/>
          <w:iCs/>
          <w:sz w:val="18"/>
          <w:szCs w:val="18"/>
        </w:rPr>
        <w:t>About Trelleborg Sealing Solutions and Trelleborg Group</w:t>
      </w:r>
    </w:p>
    <w:p w14:paraId="4925D09C" w14:textId="77777777" w:rsidR="00366F43" w:rsidRPr="00366F43" w:rsidRDefault="00366F43" w:rsidP="00366F43">
      <w:pPr>
        <w:autoSpaceDE w:val="0"/>
        <w:autoSpaceDN w:val="0"/>
        <w:adjustRightInd w:val="0"/>
        <w:spacing w:after="200" w:line="360" w:lineRule="auto"/>
        <w:jc w:val="both"/>
        <w:rPr>
          <w:rFonts w:ascii="Arial" w:eastAsiaTheme="majorEastAsia" w:hAnsi="Arial" w:cs="Arial"/>
          <w:i/>
          <w:iCs/>
          <w:color w:val="0563C1" w:themeColor="hyperlink"/>
          <w:sz w:val="18"/>
          <w:szCs w:val="18"/>
          <w:u w:val="single"/>
        </w:rPr>
      </w:pPr>
      <w:r w:rsidRPr="00366F43">
        <w:rPr>
          <w:rFonts w:ascii="Arial" w:eastAsiaTheme="minorHAnsi" w:hAnsi="Arial" w:cs="Arial"/>
          <w:b/>
          <w:i/>
          <w:iCs/>
          <w:sz w:val="18"/>
          <w:szCs w:val="18"/>
        </w:rPr>
        <w:t>Trelleborg Sealing Solutions</w:t>
      </w:r>
      <w:r w:rsidRPr="00366F43">
        <w:rPr>
          <w:rFonts w:ascii="Arial" w:eastAsiaTheme="minorHAnsi" w:hAnsi="Arial" w:cs="Arial"/>
          <w:i/>
          <w:iCs/>
          <w:sz w:val="18"/>
          <w:szCs w:val="18"/>
        </w:rPr>
        <w:t xml:space="preserve"> is one of the world’s leading developers, manufacturers and suppliers of precision seals, bearings and custom-molded polymer components. It focuses on meeting the most demanding needs of aerospace, automotive and general industrial customers, </w:t>
      </w:r>
      <w:r w:rsidRPr="00BD5488">
        <w:rPr>
          <w:rFonts w:ascii="Arial" w:eastAsiaTheme="minorHAnsi" w:hAnsi="Arial" w:cs="Arial"/>
          <w:i/>
          <w:iCs/>
          <w:sz w:val="18"/>
          <w:szCs w:val="18"/>
        </w:rPr>
        <w:t xml:space="preserve">including those from the </w:t>
      </w:r>
      <w:r w:rsidR="00AE3E8B">
        <w:rPr>
          <w:rFonts w:ascii="Arial" w:eastAsiaTheme="minorHAnsi" w:hAnsi="Arial" w:cs="Arial"/>
          <w:i/>
          <w:iCs/>
          <w:sz w:val="18"/>
          <w:szCs w:val="18"/>
        </w:rPr>
        <w:t>pharmaceutical</w:t>
      </w:r>
      <w:r w:rsidRPr="00BD5488">
        <w:rPr>
          <w:rFonts w:ascii="Arial" w:eastAsiaTheme="minorHAnsi" w:hAnsi="Arial" w:cs="Arial"/>
          <w:i/>
          <w:iCs/>
          <w:sz w:val="18"/>
          <w:szCs w:val="18"/>
        </w:rPr>
        <w:t xml:space="preserve"> industry</w:t>
      </w:r>
      <w:r w:rsidRPr="00366F43">
        <w:rPr>
          <w:rFonts w:ascii="Arial" w:eastAsiaTheme="minorHAnsi" w:hAnsi="Arial" w:cs="Arial"/>
          <w:i/>
          <w:iCs/>
          <w:sz w:val="18"/>
          <w:szCs w:val="18"/>
        </w:rPr>
        <w:t>, with innovative solutions. Its network extends to over 25 production facilities and more than 50 marketing companies globally. The business area accelerates the progress of its customers through outstanding local support, an unrivalled product range including patented products and proprietary materials, a portfolio of established brands, unique process offerings, its Service PLUS value chain solution and ‘Ease of Doing Business’ philosophy.</w:t>
      </w:r>
      <w:hyperlink r:id="rId10" w:history="1">
        <w:r w:rsidRPr="00366F43">
          <w:rPr>
            <w:rFonts w:ascii="Arial" w:eastAsiaTheme="majorEastAsia" w:hAnsi="Arial" w:cs="Arial"/>
            <w:i/>
            <w:iCs/>
            <w:color w:val="0563C1" w:themeColor="hyperlink"/>
            <w:sz w:val="18"/>
            <w:szCs w:val="18"/>
            <w:u w:val="single"/>
          </w:rPr>
          <w:t>www.tss.trelleborg.com</w:t>
        </w:r>
      </w:hyperlink>
    </w:p>
    <w:p w14:paraId="4925D09D" w14:textId="77777777" w:rsidR="00366F43" w:rsidRPr="00366F43" w:rsidRDefault="00366F43" w:rsidP="00366F43">
      <w:pPr>
        <w:spacing w:line="360" w:lineRule="auto"/>
        <w:ind w:right="142"/>
        <w:jc w:val="both"/>
        <w:rPr>
          <w:rFonts w:ascii="Arial" w:eastAsiaTheme="minorHAnsi" w:hAnsi="Arial" w:cs="Arial"/>
          <w:sz w:val="18"/>
          <w:szCs w:val="18"/>
          <w:lang w:val="en-GB"/>
        </w:rPr>
      </w:pPr>
      <w:r w:rsidRPr="00366F43">
        <w:rPr>
          <w:rFonts w:ascii="Arial" w:eastAsiaTheme="minorHAnsi" w:hAnsi="Arial" w:cs="Arial"/>
          <w:b/>
          <w:bCs/>
          <w:i/>
          <w:iCs/>
          <w:sz w:val="18"/>
          <w:szCs w:val="18"/>
        </w:rPr>
        <w:t xml:space="preserve">Trelleborg </w:t>
      </w:r>
      <w:r w:rsidRPr="00366F43">
        <w:rPr>
          <w:rFonts w:ascii="Arial" w:eastAsiaTheme="minorHAnsi" w:hAnsi="Arial" w:cs="Arial"/>
          <w:bCs/>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w:t>
      </w:r>
      <w:r w:rsidRPr="00366F43">
        <w:rPr>
          <w:rFonts w:ascii="Arial" w:eastAsiaTheme="minorHAnsi" w:hAnsi="Arial" w:cs="Arial"/>
          <w:bCs/>
          <w:i/>
          <w:iCs/>
          <w:sz w:val="18"/>
          <w:szCs w:val="18"/>
        </w:rPr>
        <w:lastRenderedPageBreak/>
        <w:t xml:space="preserve">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w:t>
      </w:r>
      <w:r>
        <w:rPr>
          <w:rFonts w:ascii="Arial" w:eastAsiaTheme="minorHAnsi" w:hAnsi="Arial" w:cs="Arial"/>
          <w:bCs/>
          <w:i/>
          <w:iCs/>
          <w:sz w:val="18"/>
          <w:szCs w:val="18"/>
        </w:rPr>
        <w:t xml:space="preserve">Large Cap. </w:t>
      </w:r>
      <w:r>
        <w:rPr>
          <w:rFonts w:ascii="Arial" w:eastAsiaTheme="minorHAnsi" w:hAnsi="Arial" w:cs="Arial"/>
          <w:bCs/>
          <w:i/>
          <w:iCs/>
          <w:sz w:val="18"/>
          <w:szCs w:val="18"/>
        </w:rPr>
        <w:tab/>
      </w:r>
      <w:hyperlink r:id="rId11" w:history="1">
        <w:r w:rsidRPr="00BD628F">
          <w:rPr>
            <w:rStyle w:val="Hyperlink"/>
            <w:rFonts w:ascii="Arial" w:eastAsiaTheme="minorHAnsi" w:hAnsi="Arial" w:cs="Arial"/>
            <w:bCs/>
            <w:i/>
            <w:iCs/>
            <w:sz w:val="18"/>
            <w:szCs w:val="18"/>
          </w:rPr>
          <w:t>www.trelleborg.com</w:t>
        </w:r>
      </w:hyperlink>
      <w:r>
        <w:rPr>
          <w:rFonts w:ascii="Arial" w:eastAsiaTheme="minorHAnsi" w:hAnsi="Arial" w:cs="Arial"/>
          <w:bCs/>
          <w:i/>
          <w:iCs/>
          <w:sz w:val="18"/>
          <w:szCs w:val="18"/>
        </w:rPr>
        <w:t xml:space="preserve"> </w:t>
      </w:r>
    </w:p>
    <w:p w14:paraId="4925D09E" w14:textId="77777777" w:rsidR="00B2593E" w:rsidRDefault="00B2593E" w:rsidP="00940BC2"/>
    <w:sectPr w:rsidR="00B2593E" w:rsidSect="00E22F3F">
      <w:head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2D7FF5" w16cid:durableId="1F0180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E7476" w14:textId="77777777" w:rsidR="00142900" w:rsidRDefault="00142900">
      <w:r>
        <w:separator/>
      </w:r>
    </w:p>
  </w:endnote>
  <w:endnote w:type="continuationSeparator" w:id="0">
    <w:p w14:paraId="5250BC5B" w14:textId="77777777" w:rsidR="00142900" w:rsidRDefault="0014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B166C" w14:textId="77777777" w:rsidR="00142900" w:rsidRDefault="00142900">
      <w:r>
        <w:separator/>
      </w:r>
    </w:p>
  </w:footnote>
  <w:footnote w:type="continuationSeparator" w:id="0">
    <w:p w14:paraId="29C55FFF" w14:textId="77777777" w:rsidR="00142900" w:rsidRDefault="0014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5D0A3" w14:textId="77777777" w:rsidR="006541CA" w:rsidRDefault="006541CA" w:rsidP="00304FBD">
    <w:pPr>
      <w:pStyle w:val="Header"/>
      <w:jc w:val="center"/>
    </w:pPr>
    <w:r w:rsidRPr="00CB474D">
      <w:rPr>
        <w:noProof/>
      </w:rPr>
      <w:drawing>
        <wp:inline distT="0" distB="0" distL="0" distR="0" wp14:anchorId="4925D0A5" wp14:editId="4925D0A6">
          <wp:extent cx="1447440" cy="612475"/>
          <wp:effectExtent l="19050" t="0" r="360" b="0"/>
          <wp:docPr id="3" name="Picture 1" descr="H:\Clients\Trelleborg\PR\OTC Brazil press pack\Trelleb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PR\OTC Brazil press pack\Trelleborg Logo.jpg"/>
                  <pic:cNvPicPr>
                    <a:picLocks noChangeAspect="1" noChangeArrowheads="1"/>
                  </pic:cNvPicPr>
                </pic:nvPicPr>
                <pic:blipFill>
                  <a:blip r:embed="rId1" cstate="print"/>
                  <a:srcRect/>
                  <a:stretch>
                    <a:fillRect/>
                  </a:stretch>
                </pic:blipFill>
                <pic:spPr bwMode="auto">
                  <a:xfrm>
                    <a:off x="0" y="0"/>
                    <a:ext cx="1447800" cy="609600"/>
                  </a:xfrm>
                  <a:prstGeom prst="rect">
                    <a:avLst/>
                  </a:prstGeom>
                  <a:noFill/>
                  <a:ln w="9525">
                    <a:noFill/>
                    <a:miter lim="800000"/>
                    <a:headEnd/>
                    <a:tailEnd/>
                  </a:ln>
                </pic:spPr>
              </pic:pic>
            </a:graphicData>
          </a:graphic>
        </wp:inline>
      </w:drawing>
    </w:r>
  </w:p>
  <w:p w14:paraId="6C234DDE" w14:textId="77777777" w:rsidR="00540263" w:rsidRDefault="00540263" w:rsidP="00304FBD">
    <w:pPr>
      <w:pStyle w:val="Header"/>
      <w:jc w:val="center"/>
    </w:pPr>
  </w:p>
  <w:p w14:paraId="4925D0A4" w14:textId="77777777" w:rsidR="006541CA" w:rsidRDefault="006541CA" w:rsidP="00304FB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12"/>
    <w:rsid w:val="0004224E"/>
    <w:rsid w:val="000620F9"/>
    <w:rsid w:val="000647A4"/>
    <w:rsid w:val="00074748"/>
    <w:rsid w:val="00084763"/>
    <w:rsid w:val="000D5185"/>
    <w:rsid w:val="0013625E"/>
    <w:rsid w:val="00142900"/>
    <w:rsid w:val="00146C70"/>
    <w:rsid w:val="00147F15"/>
    <w:rsid w:val="001624E8"/>
    <w:rsid w:val="0018024F"/>
    <w:rsid w:val="00187B4A"/>
    <w:rsid w:val="001B1075"/>
    <w:rsid w:val="001D7DC8"/>
    <w:rsid w:val="001F32ED"/>
    <w:rsid w:val="001F36B1"/>
    <w:rsid w:val="002030AA"/>
    <w:rsid w:val="00213285"/>
    <w:rsid w:val="0021488E"/>
    <w:rsid w:val="002242B7"/>
    <w:rsid w:val="00225245"/>
    <w:rsid w:val="00274A85"/>
    <w:rsid w:val="00280465"/>
    <w:rsid w:val="002806CB"/>
    <w:rsid w:val="00295D00"/>
    <w:rsid w:val="00296FEB"/>
    <w:rsid w:val="002B4DE6"/>
    <w:rsid w:val="002E089D"/>
    <w:rsid w:val="002E6C04"/>
    <w:rsid w:val="002F3AA4"/>
    <w:rsid w:val="0030390A"/>
    <w:rsid w:val="00304FBD"/>
    <w:rsid w:val="003060FB"/>
    <w:rsid w:val="00311925"/>
    <w:rsid w:val="00314322"/>
    <w:rsid w:val="00317F46"/>
    <w:rsid w:val="00327A2B"/>
    <w:rsid w:val="0033774C"/>
    <w:rsid w:val="00366F43"/>
    <w:rsid w:val="003A6482"/>
    <w:rsid w:val="003B0C3F"/>
    <w:rsid w:val="003B56ED"/>
    <w:rsid w:val="003D6F61"/>
    <w:rsid w:val="003E04CB"/>
    <w:rsid w:val="003F0AC5"/>
    <w:rsid w:val="004379F4"/>
    <w:rsid w:val="00442190"/>
    <w:rsid w:val="00452518"/>
    <w:rsid w:val="00453A24"/>
    <w:rsid w:val="0046038D"/>
    <w:rsid w:val="004653BA"/>
    <w:rsid w:val="00477164"/>
    <w:rsid w:val="004800F6"/>
    <w:rsid w:val="004A3C77"/>
    <w:rsid w:val="004C766D"/>
    <w:rsid w:val="004F7B23"/>
    <w:rsid w:val="005152D9"/>
    <w:rsid w:val="00517DDC"/>
    <w:rsid w:val="00540263"/>
    <w:rsid w:val="00546EFC"/>
    <w:rsid w:val="005515AB"/>
    <w:rsid w:val="00552B59"/>
    <w:rsid w:val="00555C8D"/>
    <w:rsid w:val="005622F8"/>
    <w:rsid w:val="00590FFC"/>
    <w:rsid w:val="005962EF"/>
    <w:rsid w:val="005B40F0"/>
    <w:rsid w:val="005C094D"/>
    <w:rsid w:val="005F266C"/>
    <w:rsid w:val="005F4583"/>
    <w:rsid w:val="0061668A"/>
    <w:rsid w:val="00624F8F"/>
    <w:rsid w:val="0062635B"/>
    <w:rsid w:val="00627DE7"/>
    <w:rsid w:val="00630331"/>
    <w:rsid w:val="00630447"/>
    <w:rsid w:val="0063155D"/>
    <w:rsid w:val="00643F86"/>
    <w:rsid w:val="006519EF"/>
    <w:rsid w:val="006541CA"/>
    <w:rsid w:val="0065787C"/>
    <w:rsid w:val="00667311"/>
    <w:rsid w:val="0068482E"/>
    <w:rsid w:val="006A0F92"/>
    <w:rsid w:val="006F16A8"/>
    <w:rsid w:val="006F50B7"/>
    <w:rsid w:val="006F5DA2"/>
    <w:rsid w:val="00702B41"/>
    <w:rsid w:val="00710F8E"/>
    <w:rsid w:val="00714BD4"/>
    <w:rsid w:val="00717A96"/>
    <w:rsid w:val="00717D7B"/>
    <w:rsid w:val="0072347E"/>
    <w:rsid w:val="00740833"/>
    <w:rsid w:val="00756124"/>
    <w:rsid w:val="00764865"/>
    <w:rsid w:val="00773B12"/>
    <w:rsid w:val="00775D21"/>
    <w:rsid w:val="00794A12"/>
    <w:rsid w:val="007D0D43"/>
    <w:rsid w:val="007D50AD"/>
    <w:rsid w:val="007E5264"/>
    <w:rsid w:val="0080413A"/>
    <w:rsid w:val="00816C1F"/>
    <w:rsid w:val="00822F93"/>
    <w:rsid w:val="00836342"/>
    <w:rsid w:val="00837856"/>
    <w:rsid w:val="00837A49"/>
    <w:rsid w:val="00857DA0"/>
    <w:rsid w:val="00861EDD"/>
    <w:rsid w:val="00870443"/>
    <w:rsid w:val="00872A20"/>
    <w:rsid w:val="0089262A"/>
    <w:rsid w:val="008A5548"/>
    <w:rsid w:val="00940BC2"/>
    <w:rsid w:val="0095220D"/>
    <w:rsid w:val="00982321"/>
    <w:rsid w:val="00990867"/>
    <w:rsid w:val="009B7980"/>
    <w:rsid w:val="009D24D2"/>
    <w:rsid w:val="00A22A18"/>
    <w:rsid w:val="00A64B39"/>
    <w:rsid w:val="00A76EEE"/>
    <w:rsid w:val="00A91107"/>
    <w:rsid w:val="00AE3CBE"/>
    <w:rsid w:val="00AE3E8B"/>
    <w:rsid w:val="00AE53C0"/>
    <w:rsid w:val="00B005AB"/>
    <w:rsid w:val="00B2568F"/>
    <w:rsid w:val="00B2593E"/>
    <w:rsid w:val="00B27191"/>
    <w:rsid w:val="00B34ECE"/>
    <w:rsid w:val="00B372C1"/>
    <w:rsid w:val="00B4212C"/>
    <w:rsid w:val="00B90B27"/>
    <w:rsid w:val="00BA403E"/>
    <w:rsid w:val="00BA4AF0"/>
    <w:rsid w:val="00BC5939"/>
    <w:rsid w:val="00BD5488"/>
    <w:rsid w:val="00BE302E"/>
    <w:rsid w:val="00BF2CC1"/>
    <w:rsid w:val="00C077D6"/>
    <w:rsid w:val="00C26C78"/>
    <w:rsid w:val="00C43336"/>
    <w:rsid w:val="00C45F20"/>
    <w:rsid w:val="00C55956"/>
    <w:rsid w:val="00C61EE7"/>
    <w:rsid w:val="00CA54C7"/>
    <w:rsid w:val="00CD245B"/>
    <w:rsid w:val="00CE4F7A"/>
    <w:rsid w:val="00CF0A22"/>
    <w:rsid w:val="00CF5C22"/>
    <w:rsid w:val="00D23597"/>
    <w:rsid w:val="00D418C4"/>
    <w:rsid w:val="00D47624"/>
    <w:rsid w:val="00DB6CA3"/>
    <w:rsid w:val="00DC4380"/>
    <w:rsid w:val="00DD5FE5"/>
    <w:rsid w:val="00DE6CD3"/>
    <w:rsid w:val="00DF2F46"/>
    <w:rsid w:val="00E02AEB"/>
    <w:rsid w:val="00E0354F"/>
    <w:rsid w:val="00E04191"/>
    <w:rsid w:val="00E118D6"/>
    <w:rsid w:val="00E22F3F"/>
    <w:rsid w:val="00E27DFA"/>
    <w:rsid w:val="00E30FB2"/>
    <w:rsid w:val="00E34C24"/>
    <w:rsid w:val="00E473F6"/>
    <w:rsid w:val="00E51F9D"/>
    <w:rsid w:val="00E71EDC"/>
    <w:rsid w:val="00E84507"/>
    <w:rsid w:val="00E94E51"/>
    <w:rsid w:val="00EA24CC"/>
    <w:rsid w:val="00EB5839"/>
    <w:rsid w:val="00EC2EB2"/>
    <w:rsid w:val="00ED63D5"/>
    <w:rsid w:val="00F14F32"/>
    <w:rsid w:val="00F34AAE"/>
    <w:rsid w:val="00F43D80"/>
    <w:rsid w:val="00F732BA"/>
    <w:rsid w:val="00FC0EF6"/>
    <w:rsid w:val="00FC5C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925D086"/>
  <w15:docId w15:val="{E9FBB266-5269-438A-AC45-044EDCFD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12"/>
    <w:pPr>
      <w:spacing w:after="0" w:line="240" w:lineRule="auto"/>
    </w:pPr>
    <w:rPr>
      <w:rFonts w:ascii="Verdana" w:eastAsia="Times New Roman" w:hAnsi="Verdan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B12"/>
    <w:pPr>
      <w:tabs>
        <w:tab w:val="center" w:pos="4680"/>
        <w:tab w:val="right" w:pos="9360"/>
      </w:tabs>
    </w:pPr>
  </w:style>
  <w:style w:type="character" w:customStyle="1" w:styleId="HeaderChar">
    <w:name w:val="Header Char"/>
    <w:basedOn w:val="DefaultParagraphFont"/>
    <w:link w:val="Header"/>
    <w:uiPriority w:val="99"/>
    <w:rsid w:val="00773B12"/>
    <w:rPr>
      <w:rFonts w:ascii="Verdana" w:eastAsia="Times New Roman" w:hAnsi="Verdana" w:cs="Times New Roman"/>
      <w:sz w:val="20"/>
      <w:szCs w:val="24"/>
      <w:lang w:val="en-US"/>
    </w:rPr>
  </w:style>
  <w:style w:type="character" w:styleId="Hyperlink">
    <w:name w:val="Hyperlink"/>
    <w:basedOn w:val="DefaultParagraphFont"/>
    <w:uiPriority w:val="99"/>
    <w:rsid w:val="00773B12"/>
    <w:rPr>
      <w:color w:val="0000FF"/>
      <w:u w:val="single"/>
    </w:rPr>
  </w:style>
  <w:style w:type="paragraph" w:styleId="BalloonText">
    <w:name w:val="Balloon Text"/>
    <w:basedOn w:val="Normal"/>
    <w:link w:val="BalloonTextChar"/>
    <w:uiPriority w:val="99"/>
    <w:semiHidden/>
    <w:unhideWhenUsed/>
    <w:rsid w:val="00A64B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B39"/>
    <w:rPr>
      <w:rFonts w:ascii="Lucida Grande" w:eastAsia="Times New Roman" w:hAnsi="Lucida Grande" w:cs="Lucida Grande"/>
      <w:sz w:val="18"/>
      <w:szCs w:val="18"/>
      <w:lang w:val="en-US"/>
    </w:rPr>
  </w:style>
  <w:style w:type="character" w:styleId="CommentReference">
    <w:name w:val="annotation reference"/>
    <w:basedOn w:val="DefaultParagraphFont"/>
    <w:uiPriority w:val="99"/>
    <w:semiHidden/>
    <w:unhideWhenUsed/>
    <w:rsid w:val="00857DA0"/>
    <w:rPr>
      <w:sz w:val="16"/>
      <w:szCs w:val="16"/>
    </w:rPr>
  </w:style>
  <w:style w:type="paragraph" w:styleId="CommentText">
    <w:name w:val="annotation text"/>
    <w:basedOn w:val="Normal"/>
    <w:link w:val="CommentTextChar"/>
    <w:uiPriority w:val="99"/>
    <w:semiHidden/>
    <w:unhideWhenUsed/>
    <w:rsid w:val="00857DA0"/>
    <w:rPr>
      <w:szCs w:val="20"/>
    </w:rPr>
  </w:style>
  <w:style w:type="character" w:customStyle="1" w:styleId="CommentTextChar">
    <w:name w:val="Comment Text Char"/>
    <w:basedOn w:val="DefaultParagraphFont"/>
    <w:link w:val="CommentText"/>
    <w:uiPriority w:val="99"/>
    <w:semiHidden/>
    <w:rsid w:val="00857DA0"/>
    <w:rPr>
      <w:rFonts w:ascii="Verdana" w:eastAsia="Times New Roman"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7DA0"/>
    <w:rPr>
      <w:b/>
      <w:bCs/>
    </w:rPr>
  </w:style>
  <w:style w:type="character" w:customStyle="1" w:styleId="CommentSubjectChar">
    <w:name w:val="Comment Subject Char"/>
    <w:basedOn w:val="CommentTextChar"/>
    <w:link w:val="CommentSubject"/>
    <w:uiPriority w:val="99"/>
    <w:semiHidden/>
    <w:rsid w:val="00857DA0"/>
    <w:rPr>
      <w:rFonts w:ascii="Verdana" w:eastAsia="Times New Roman" w:hAnsi="Verdana" w:cs="Times New Roman"/>
      <w:b/>
      <w:bCs/>
      <w:sz w:val="20"/>
      <w:szCs w:val="20"/>
      <w:lang w:val="en-US"/>
    </w:rPr>
  </w:style>
  <w:style w:type="paragraph" w:customStyle="1" w:styleId="Pa4">
    <w:name w:val="Pa4"/>
    <w:basedOn w:val="Normal"/>
    <w:next w:val="Normal"/>
    <w:uiPriority w:val="99"/>
    <w:rsid w:val="00E22F3F"/>
    <w:pPr>
      <w:autoSpaceDE w:val="0"/>
      <w:autoSpaceDN w:val="0"/>
      <w:adjustRightInd w:val="0"/>
      <w:spacing w:line="191" w:lineRule="atLeast"/>
    </w:pPr>
    <w:rPr>
      <w:rFonts w:ascii="ITC Franklin Gothic Std Book" w:eastAsiaTheme="minorEastAsia" w:hAnsi="ITC Franklin Gothic Std Book" w:cstheme="minorBidi"/>
      <w:sz w:val="24"/>
    </w:rPr>
  </w:style>
  <w:style w:type="paragraph" w:customStyle="1" w:styleId="Pa5">
    <w:name w:val="Pa5"/>
    <w:basedOn w:val="Normal"/>
    <w:next w:val="Normal"/>
    <w:uiPriority w:val="99"/>
    <w:rsid w:val="00E22F3F"/>
    <w:pPr>
      <w:autoSpaceDE w:val="0"/>
      <w:autoSpaceDN w:val="0"/>
      <w:adjustRightInd w:val="0"/>
      <w:spacing w:line="191" w:lineRule="atLeast"/>
    </w:pPr>
    <w:rPr>
      <w:rFonts w:ascii="ITC Franklin Gothic Std Book" w:eastAsiaTheme="minorEastAsia" w:hAnsi="ITC Franklin Gothic Std Book" w:cstheme="minorBidi"/>
      <w:sz w:val="24"/>
    </w:rPr>
  </w:style>
  <w:style w:type="character" w:customStyle="1" w:styleId="A0">
    <w:name w:val="A0"/>
    <w:uiPriority w:val="99"/>
    <w:rsid w:val="00E22F3F"/>
    <w:rPr>
      <w:rFonts w:cs="ITC Franklin Gothic Std Book"/>
      <w:b/>
      <w:bCs/>
      <w:color w:val="FFFFFF"/>
    </w:rPr>
  </w:style>
  <w:style w:type="paragraph" w:styleId="Footer">
    <w:name w:val="footer"/>
    <w:basedOn w:val="Normal"/>
    <w:link w:val="FooterChar"/>
    <w:uiPriority w:val="99"/>
    <w:unhideWhenUsed/>
    <w:rsid w:val="00540263"/>
    <w:pPr>
      <w:tabs>
        <w:tab w:val="center" w:pos="4680"/>
        <w:tab w:val="right" w:pos="9360"/>
      </w:tabs>
    </w:pPr>
  </w:style>
  <w:style w:type="character" w:customStyle="1" w:styleId="FooterChar">
    <w:name w:val="Footer Char"/>
    <w:basedOn w:val="DefaultParagraphFont"/>
    <w:link w:val="Footer"/>
    <w:uiPriority w:val="99"/>
    <w:rsid w:val="00540263"/>
    <w:rPr>
      <w:rFonts w:ascii="Verdana" w:eastAsia="Times New Roman" w:hAnsi="Verdana" w:cs="Times New Roman"/>
      <w:sz w:val="20"/>
      <w:szCs w:val="24"/>
      <w:lang w:val="en-US"/>
    </w:rPr>
  </w:style>
  <w:style w:type="paragraph" w:styleId="Revision">
    <w:name w:val="Revision"/>
    <w:hidden/>
    <w:uiPriority w:val="99"/>
    <w:semiHidden/>
    <w:rsid w:val="00756124"/>
    <w:pPr>
      <w:spacing w:after="0" w:line="240" w:lineRule="auto"/>
    </w:pPr>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840782">
      <w:bodyDiv w:val="1"/>
      <w:marLeft w:val="0"/>
      <w:marRight w:val="0"/>
      <w:marTop w:val="0"/>
      <w:marBottom w:val="0"/>
      <w:divBdr>
        <w:top w:val="none" w:sz="0" w:space="0" w:color="auto"/>
        <w:left w:val="none" w:sz="0" w:space="0" w:color="auto"/>
        <w:bottom w:val="none" w:sz="0" w:space="0" w:color="auto"/>
        <w:right w:val="none" w:sz="0" w:space="0" w:color="auto"/>
      </w:divBdr>
    </w:div>
    <w:div w:id="829292934">
      <w:bodyDiv w:val="1"/>
      <w:marLeft w:val="0"/>
      <w:marRight w:val="0"/>
      <w:marTop w:val="0"/>
      <w:marBottom w:val="0"/>
      <w:divBdr>
        <w:top w:val="none" w:sz="0" w:space="0" w:color="auto"/>
        <w:left w:val="none" w:sz="0" w:space="0" w:color="auto"/>
        <w:bottom w:val="none" w:sz="0" w:space="0" w:color="auto"/>
        <w:right w:val="none" w:sz="0" w:space="0" w:color="auto"/>
      </w:divBdr>
    </w:div>
    <w:div w:id="1337029491">
      <w:bodyDiv w:val="1"/>
      <w:marLeft w:val="0"/>
      <w:marRight w:val="0"/>
      <w:marTop w:val="0"/>
      <w:marBottom w:val="0"/>
      <w:divBdr>
        <w:top w:val="none" w:sz="0" w:space="0" w:color="auto"/>
        <w:left w:val="none" w:sz="0" w:space="0" w:color="auto"/>
        <w:bottom w:val="none" w:sz="0" w:space="0" w:color="auto"/>
        <w:right w:val="none" w:sz="0" w:space="0" w:color="auto"/>
      </w:divBdr>
    </w:div>
    <w:div w:id="19525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lleborg.co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tss.trelleborg.com" TargetMode="External"/><Relationship Id="rId4" Type="http://schemas.openxmlformats.org/officeDocument/2006/relationships/styles" Target="styles.xml"/><Relationship Id="rId9" Type="http://schemas.openxmlformats.org/officeDocument/2006/relationships/hyperlink" Target="http://www.trelleborg-lifesciences.com/en/tools_and_media/whitepapers/whitepapers_1.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83684FAF5514EA2229C42EB1B3825" ma:contentTypeVersion="0" ma:contentTypeDescription="Create a new document." ma:contentTypeScope="" ma:versionID="b195a97df46558f21d5c40feb8075c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FB7EC-8F60-475A-87A3-7B10B1CA0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458697-ABBC-4A2C-B572-C1CB385440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7AA180-6226-4E1C-BDA6-8A9EE973B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4880</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Donna Guinivan</cp:lastModifiedBy>
  <cp:revision>2</cp:revision>
  <cp:lastPrinted>2018-07-12T11:18:00Z</cp:lastPrinted>
  <dcterms:created xsi:type="dcterms:W3CDTF">2018-07-26T08:01:00Z</dcterms:created>
  <dcterms:modified xsi:type="dcterms:W3CDTF">2018-07-26T08:01:00Z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0x010100A4583684FAF5514EA2229C42EB1B3825</vt:lpwstr>
  </property>
</Properties>
</file>