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075" w:rsidRPr="0024566B" w:rsidRDefault="00AC3559" w:rsidP="00D51A5B">
      <w:pPr>
        <w:shd w:val="clear" w:color="auto" w:fill="FFFFFF" w:themeFill="background1"/>
        <w:spacing w:after="120" w:line="360" w:lineRule="auto"/>
        <w:jc w:val="right"/>
        <w:rPr>
          <w:rFonts w:ascii="Arial" w:hAnsi="Arial" w:cs="Arial"/>
          <w:b/>
        </w:rPr>
      </w:pPr>
      <w:bookmarkStart w:id="0" w:name="_GoBack"/>
      <w:bookmarkEnd w:id="0"/>
      <w:r w:rsidRPr="0024566B">
        <w:rPr>
          <w:rFonts w:ascii="Arial" w:hAnsi="Arial" w:cs="Arial"/>
          <w:b/>
        </w:rPr>
        <w:t xml:space="preserve"> </w:t>
      </w:r>
      <w:r w:rsidR="007000C0">
        <w:rPr>
          <w:rFonts w:ascii="Arial" w:hAnsi="Arial" w:cs="Arial"/>
          <w:b/>
        </w:rPr>
        <w:t>April</w:t>
      </w:r>
      <w:r w:rsidR="007000C0" w:rsidRPr="0024566B">
        <w:rPr>
          <w:rFonts w:ascii="Arial" w:hAnsi="Arial" w:cs="Arial"/>
          <w:b/>
        </w:rPr>
        <w:t xml:space="preserve"> </w:t>
      </w:r>
      <w:r w:rsidRPr="0024566B">
        <w:rPr>
          <w:rFonts w:ascii="Arial" w:hAnsi="Arial" w:cs="Arial"/>
          <w:b/>
        </w:rPr>
        <w:t>2018</w:t>
      </w:r>
    </w:p>
    <w:p w:rsidR="006D7B6A" w:rsidRDefault="006D7B6A" w:rsidP="00E14015">
      <w:pPr>
        <w:shd w:val="clear" w:color="auto" w:fill="FFFFFF" w:themeFill="background1"/>
        <w:spacing w:after="0" w:line="360" w:lineRule="auto"/>
        <w:jc w:val="center"/>
        <w:rPr>
          <w:rFonts w:ascii="Arial" w:hAnsi="Arial" w:cs="Arial"/>
          <w:b/>
          <w:sz w:val="24"/>
        </w:rPr>
      </w:pPr>
    </w:p>
    <w:p w:rsidR="008E0E63" w:rsidRPr="0024566B" w:rsidRDefault="00F208E3" w:rsidP="00E14015">
      <w:pPr>
        <w:shd w:val="clear" w:color="auto" w:fill="FFFFFF" w:themeFill="background1"/>
        <w:spacing w:after="0" w:line="360" w:lineRule="auto"/>
        <w:jc w:val="center"/>
        <w:rPr>
          <w:rFonts w:ascii="Arial" w:hAnsi="Arial" w:cs="Arial"/>
          <w:b/>
          <w:sz w:val="24"/>
        </w:rPr>
      </w:pPr>
      <w:r w:rsidRPr="0024566B">
        <w:rPr>
          <w:rFonts w:ascii="Arial" w:hAnsi="Arial" w:cs="Arial"/>
          <w:b/>
          <w:sz w:val="24"/>
        </w:rPr>
        <w:t xml:space="preserve">Trelleborg </w:t>
      </w:r>
      <w:r w:rsidR="00B275B4">
        <w:rPr>
          <w:rFonts w:ascii="Arial" w:hAnsi="Arial" w:cs="Arial"/>
          <w:b/>
          <w:sz w:val="24"/>
        </w:rPr>
        <w:t xml:space="preserve">Improves </w:t>
      </w:r>
      <w:r w:rsidR="00FA38BF">
        <w:rPr>
          <w:rFonts w:ascii="Arial" w:hAnsi="Arial" w:cs="Arial"/>
          <w:b/>
          <w:sz w:val="24"/>
        </w:rPr>
        <w:t>Riser Fairing Performance and Efficiency</w:t>
      </w:r>
    </w:p>
    <w:p w:rsidR="00B275B4" w:rsidRDefault="00B275B4" w:rsidP="00E47FBE">
      <w:pPr>
        <w:shd w:val="clear" w:color="auto" w:fill="FFFFFF" w:themeFill="background1"/>
        <w:spacing w:after="0" w:line="360" w:lineRule="auto"/>
        <w:rPr>
          <w:rFonts w:ascii="Arial" w:hAnsi="Arial" w:cs="Arial"/>
          <w:sz w:val="24"/>
        </w:rPr>
      </w:pPr>
    </w:p>
    <w:p w:rsidR="000E330F" w:rsidRPr="006D7B6A" w:rsidRDefault="006D7B6A" w:rsidP="006D7B6A">
      <w:pPr>
        <w:shd w:val="clear" w:color="auto" w:fill="FFFFFF" w:themeFill="background1"/>
        <w:spacing w:after="120" w:line="360" w:lineRule="auto"/>
        <w:jc w:val="both"/>
        <w:rPr>
          <w:rFonts w:ascii="Arial" w:hAnsi="Arial" w:cs="Arial"/>
        </w:rPr>
      </w:pPr>
      <w:r w:rsidRPr="006D7B6A">
        <w:rPr>
          <w:rFonts w:ascii="Arial" w:hAnsi="Arial" w:cs="Arial"/>
        </w:rPr>
        <w:t xml:space="preserve">Trelleborg’s offshore operation </w:t>
      </w:r>
      <w:r w:rsidR="00B275B4" w:rsidRPr="006D7B6A">
        <w:rPr>
          <w:rFonts w:ascii="Arial" w:hAnsi="Arial" w:cs="Arial"/>
        </w:rPr>
        <w:t xml:space="preserve">signs a strategic supply and license agreement with </w:t>
      </w:r>
      <w:r w:rsidRPr="006D7B6A">
        <w:rPr>
          <w:rFonts w:ascii="Arial" w:hAnsi="Arial" w:cs="Arial"/>
        </w:rPr>
        <w:t xml:space="preserve">Reel Power Oil and Gas </w:t>
      </w:r>
      <w:r w:rsidR="00B275B4" w:rsidRPr="006D7B6A">
        <w:rPr>
          <w:rFonts w:ascii="Arial" w:hAnsi="Arial" w:cs="Arial"/>
        </w:rPr>
        <w:t xml:space="preserve">to collaboratively develop and market an innovative new </w:t>
      </w:r>
      <w:r w:rsidR="00AA2E55">
        <w:rPr>
          <w:rFonts w:ascii="Arial" w:hAnsi="Arial" w:cs="Arial"/>
        </w:rPr>
        <w:t>Vortex Induced Vibration (</w:t>
      </w:r>
      <w:r w:rsidR="00D900AA">
        <w:rPr>
          <w:rFonts w:ascii="Arial" w:hAnsi="Arial" w:cs="Arial"/>
        </w:rPr>
        <w:t>VIV</w:t>
      </w:r>
      <w:r w:rsidR="00AA2E55">
        <w:rPr>
          <w:rFonts w:ascii="Arial" w:hAnsi="Arial" w:cs="Arial"/>
        </w:rPr>
        <w:t>)</w:t>
      </w:r>
      <w:r w:rsidR="00D900AA">
        <w:rPr>
          <w:rFonts w:ascii="Arial" w:hAnsi="Arial" w:cs="Arial"/>
        </w:rPr>
        <w:t xml:space="preserve"> suppression system</w:t>
      </w:r>
      <w:r w:rsidR="00B275B4" w:rsidRPr="006D7B6A">
        <w:rPr>
          <w:rFonts w:ascii="Arial" w:hAnsi="Arial" w:cs="Arial"/>
        </w:rPr>
        <w:t xml:space="preserve"> aimed at improving riser performance </w:t>
      </w:r>
      <w:r w:rsidR="00FA38BF" w:rsidRPr="006D7B6A">
        <w:rPr>
          <w:rFonts w:ascii="Arial" w:hAnsi="Arial" w:cs="Arial"/>
        </w:rPr>
        <w:t xml:space="preserve">and efficiency </w:t>
      </w:r>
      <w:r w:rsidR="00B275B4" w:rsidRPr="006D7B6A">
        <w:rPr>
          <w:rFonts w:ascii="Arial" w:hAnsi="Arial" w:cs="Arial"/>
        </w:rPr>
        <w:t xml:space="preserve">in demanding offshore environments. Through this agreement, both companies are aiming to market the solution to a wider customer base globally.  </w:t>
      </w:r>
    </w:p>
    <w:p w:rsidR="00B275B4" w:rsidRPr="006D7B6A" w:rsidRDefault="00B275B4" w:rsidP="006D7B6A">
      <w:pPr>
        <w:shd w:val="clear" w:color="auto" w:fill="FFFFFF" w:themeFill="background1"/>
        <w:spacing w:after="120" w:line="360" w:lineRule="auto"/>
        <w:jc w:val="both"/>
        <w:rPr>
          <w:rFonts w:ascii="Arial" w:hAnsi="Arial" w:cs="Arial"/>
        </w:rPr>
      </w:pPr>
      <w:r w:rsidRPr="006D7B6A">
        <w:rPr>
          <w:rFonts w:ascii="Arial" w:hAnsi="Arial" w:cs="Arial"/>
        </w:rPr>
        <w:t>Michael Spence, Senior VP with Reel Power Oil and Gas</w:t>
      </w:r>
      <w:r w:rsidR="006D7B6A">
        <w:rPr>
          <w:rFonts w:ascii="Arial" w:hAnsi="Arial" w:cs="Arial"/>
        </w:rPr>
        <w:t>,</w:t>
      </w:r>
      <w:r w:rsidRPr="006D7B6A">
        <w:rPr>
          <w:rFonts w:ascii="Arial" w:hAnsi="Arial" w:cs="Arial"/>
        </w:rPr>
        <w:t xml:space="preserve"> states</w:t>
      </w:r>
      <w:r w:rsidR="006D7B6A">
        <w:rPr>
          <w:rFonts w:ascii="Arial" w:hAnsi="Arial" w:cs="Arial"/>
        </w:rPr>
        <w:t>:</w:t>
      </w:r>
      <w:r w:rsidR="006D7B6A" w:rsidRPr="006D7B6A">
        <w:rPr>
          <w:rFonts w:ascii="Arial" w:hAnsi="Arial" w:cs="Arial"/>
        </w:rPr>
        <w:t xml:space="preserve"> </w:t>
      </w:r>
      <w:r w:rsidRPr="006D7B6A">
        <w:rPr>
          <w:rFonts w:ascii="Arial" w:hAnsi="Arial" w:cs="Arial"/>
        </w:rPr>
        <w:t xml:space="preserve">“We chose to work with Trelleborg to develop and market our </w:t>
      </w:r>
      <w:r w:rsidR="0046730D" w:rsidRPr="006D7B6A">
        <w:rPr>
          <w:rFonts w:ascii="Arial" w:hAnsi="Arial" w:cs="Arial"/>
        </w:rPr>
        <w:t xml:space="preserve">patented </w:t>
      </w:r>
      <w:r w:rsidRPr="006D7B6A">
        <w:rPr>
          <w:rFonts w:ascii="Arial" w:hAnsi="Arial" w:cs="Arial"/>
        </w:rPr>
        <w:t xml:space="preserve">concept because of their </w:t>
      </w:r>
      <w:r w:rsidR="0046730D" w:rsidRPr="006D7B6A">
        <w:rPr>
          <w:rFonts w:ascii="Arial" w:hAnsi="Arial" w:cs="Arial"/>
        </w:rPr>
        <w:t>knowledge of the target market and extensive track record in delivering new solutions that create value.</w:t>
      </w:r>
      <w:r w:rsidRPr="006D7B6A">
        <w:rPr>
          <w:rFonts w:ascii="Arial" w:hAnsi="Arial" w:cs="Arial"/>
        </w:rPr>
        <w:t>”</w:t>
      </w:r>
    </w:p>
    <w:p w:rsidR="006D7B6A" w:rsidRDefault="006E42CF" w:rsidP="006D7B6A">
      <w:pPr>
        <w:shd w:val="clear" w:color="auto" w:fill="FFFFFF" w:themeFill="background1"/>
        <w:spacing w:after="120" w:line="360" w:lineRule="auto"/>
        <w:jc w:val="both"/>
        <w:rPr>
          <w:rFonts w:ascii="Arial" w:hAnsi="Arial" w:cs="Arial"/>
        </w:rPr>
      </w:pPr>
      <w:r w:rsidRPr="006D7B6A">
        <w:rPr>
          <w:rFonts w:ascii="Arial" w:hAnsi="Arial" w:cs="Arial"/>
        </w:rPr>
        <w:t xml:space="preserve">Antony Croston, Business Group Director with Trelleborg’s offshore operation in Houston says: “We strive to push the limits of the oil and gas industry to improve </w:t>
      </w:r>
      <w:r w:rsidR="00180F07" w:rsidRPr="006D7B6A">
        <w:rPr>
          <w:rFonts w:ascii="Arial" w:hAnsi="Arial" w:cs="Arial"/>
        </w:rPr>
        <w:t xml:space="preserve">the </w:t>
      </w:r>
      <w:r w:rsidRPr="006D7B6A">
        <w:rPr>
          <w:rFonts w:ascii="Arial" w:hAnsi="Arial" w:cs="Arial"/>
        </w:rPr>
        <w:t xml:space="preserve">performance and </w:t>
      </w:r>
      <w:r w:rsidR="00180F07" w:rsidRPr="006D7B6A">
        <w:rPr>
          <w:rFonts w:ascii="Arial" w:hAnsi="Arial" w:cs="Arial"/>
        </w:rPr>
        <w:t xml:space="preserve">competitiveness of our customers. </w:t>
      </w:r>
      <w:r w:rsidR="002677AF" w:rsidRPr="006D7B6A">
        <w:rPr>
          <w:rFonts w:ascii="Arial" w:hAnsi="Arial" w:cs="Arial"/>
        </w:rPr>
        <w:t xml:space="preserve">This new solution </w:t>
      </w:r>
      <w:r w:rsidR="006D7B6A" w:rsidRPr="006D7B6A">
        <w:rPr>
          <w:rFonts w:ascii="Arial" w:hAnsi="Arial" w:cs="Arial"/>
        </w:rPr>
        <w:t>provide</w:t>
      </w:r>
      <w:r w:rsidR="006D7B6A">
        <w:rPr>
          <w:rFonts w:ascii="Arial" w:hAnsi="Arial" w:cs="Arial"/>
        </w:rPr>
        <w:t>s</w:t>
      </w:r>
      <w:r w:rsidR="006D7B6A" w:rsidRPr="006D7B6A">
        <w:rPr>
          <w:rFonts w:ascii="Arial" w:hAnsi="Arial" w:cs="Arial"/>
        </w:rPr>
        <w:t xml:space="preserve"> </w:t>
      </w:r>
      <w:r w:rsidR="002677AF" w:rsidRPr="006D7B6A">
        <w:rPr>
          <w:rFonts w:ascii="Arial" w:hAnsi="Arial" w:cs="Arial"/>
        </w:rPr>
        <w:t xml:space="preserve">us </w:t>
      </w:r>
      <w:r w:rsidR="006D7B6A">
        <w:rPr>
          <w:rFonts w:ascii="Arial" w:hAnsi="Arial" w:cs="Arial"/>
        </w:rPr>
        <w:t xml:space="preserve">with </w:t>
      </w:r>
      <w:r w:rsidR="002677AF" w:rsidRPr="006D7B6A">
        <w:rPr>
          <w:rFonts w:ascii="Arial" w:hAnsi="Arial" w:cs="Arial"/>
        </w:rPr>
        <w:t xml:space="preserve">the opportunity </w:t>
      </w:r>
      <w:r w:rsidR="00D565D5" w:rsidRPr="006D7B6A">
        <w:rPr>
          <w:rFonts w:ascii="Arial" w:hAnsi="Arial" w:cs="Arial"/>
        </w:rPr>
        <w:t xml:space="preserve">to </w:t>
      </w:r>
      <w:r w:rsidR="002677AF" w:rsidRPr="006D7B6A">
        <w:rPr>
          <w:rFonts w:ascii="Arial" w:hAnsi="Arial" w:cs="Arial"/>
        </w:rPr>
        <w:t>work with Reel Power to help them commercialize this technology and allow</w:t>
      </w:r>
      <w:r w:rsidR="006D7B6A">
        <w:rPr>
          <w:rFonts w:ascii="Arial" w:hAnsi="Arial" w:cs="Arial"/>
        </w:rPr>
        <w:t>s</w:t>
      </w:r>
      <w:r w:rsidR="002677AF" w:rsidRPr="006D7B6A">
        <w:rPr>
          <w:rFonts w:ascii="Arial" w:hAnsi="Arial" w:cs="Arial"/>
        </w:rPr>
        <w:t xml:space="preserve"> us to add </w:t>
      </w:r>
      <w:r w:rsidR="00501748" w:rsidRPr="006D7B6A">
        <w:rPr>
          <w:rFonts w:ascii="Arial" w:hAnsi="Arial" w:cs="Arial"/>
        </w:rPr>
        <w:t xml:space="preserve">this superior </w:t>
      </w:r>
      <w:r w:rsidR="002677AF" w:rsidRPr="006D7B6A">
        <w:rPr>
          <w:rFonts w:ascii="Arial" w:hAnsi="Arial" w:cs="Arial"/>
        </w:rPr>
        <w:t>solution to our portfolio</w:t>
      </w:r>
      <w:r w:rsidR="00383975" w:rsidRPr="006D7B6A">
        <w:rPr>
          <w:rFonts w:ascii="Arial" w:hAnsi="Arial" w:cs="Arial"/>
        </w:rPr>
        <w:t>.</w:t>
      </w:r>
      <w:r w:rsidR="0046730D" w:rsidRPr="006D7B6A">
        <w:rPr>
          <w:rFonts w:ascii="Arial" w:hAnsi="Arial" w:cs="Arial"/>
        </w:rPr>
        <w:t xml:space="preserve"> </w:t>
      </w:r>
    </w:p>
    <w:p w:rsidR="00B275B4" w:rsidRPr="006D7B6A" w:rsidRDefault="006D7B6A" w:rsidP="006D7B6A">
      <w:pPr>
        <w:shd w:val="clear" w:color="auto" w:fill="FFFFFF" w:themeFill="background1"/>
        <w:spacing w:after="120" w:line="360" w:lineRule="auto"/>
        <w:jc w:val="both"/>
        <w:rPr>
          <w:rFonts w:ascii="Arial" w:hAnsi="Arial" w:cs="Arial"/>
        </w:rPr>
      </w:pPr>
      <w:r>
        <w:rPr>
          <w:rFonts w:ascii="Arial" w:hAnsi="Arial" w:cs="Arial"/>
        </w:rPr>
        <w:t>“</w:t>
      </w:r>
      <w:r w:rsidR="0046730D" w:rsidRPr="006D7B6A">
        <w:rPr>
          <w:rFonts w:ascii="Arial" w:hAnsi="Arial" w:cs="Arial"/>
        </w:rPr>
        <w:t>We believe</w:t>
      </w:r>
      <w:r w:rsidR="002677AF" w:rsidRPr="006D7B6A">
        <w:rPr>
          <w:rFonts w:ascii="Arial" w:hAnsi="Arial" w:cs="Arial"/>
        </w:rPr>
        <w:t xml:space="preserve"> that this technology</w:t>
      </w:r>
      <w:r w:rsidR="00383975" w:rsidRPr="006D7B6A">
        <w:rPr>
          <w:rFonts w:ascii="Arial" w:hAnsi="Arial" w:cs="Arial"/>
        </w:rPr>
        <w:t>, which is not currently available to the market,</w:t>
      </w:r>
      <w:r w:rsidR="002677AF" w:rsidRPr="006D7B6A">
        <w:rPr>
          <w:rFonts w:ascii="Arial" w:hAnsi="Arial" w:cs="Arial"/>
        </w:rPr>
        <w:t xml:space="preserve"> will</w:t>
      </w:r>
      <w:r w:rsidR="0046730D" w:rsidRPr="006D7B6A">
        <w:rPr>
          <w:rFonts w:ascii="Arial" w:hAnsi="Arial" w:cs="Arial"/>
        </w:rPr>
        <w:t xml:space="preserve"> address some of the key drawbacks of existing </w:t>
      </w:r>
      <w:r w:rsidR="00D900AA">
        <w:rPr>
          <w:rFonts w:ascii="Arial" w:hAnsi="Arial" w:cs="Arial"/>
        </w:rPr>
        <w:t>VIV suppression</w:t>
      </w:r>
      <w:r w:rsidR="00D900AA" w:rsidRPr="006D7B6A">
        <w:rPr>
          <w:rFonts w:ascii="Arial" w:hAnsi="Arial" w:cs="Arial"/>
        </w:rPr>
        <w:t xml:space="preserve"> </w:t>
      </w:r>
      <w:r w:rsidR="00E271F8" w:rsidRPr="006D7B6A">
        <w:rPr>
          <w:rFonts w:ascii="Arial" w:hAnsi="Arial" w:cs="Arial"/>
        </w:rPr>
        <w:t xml:space="preserve">solutions </w:t>
      </w:r>
      <w:r w:rsidR="002677AF" w:rsidRPr="006D7B6A">
        <w:rPr>
          <w:rFonts w:ascii="Arial" w:hAnsi="Arial" w:cs="Arial"/>
        </w:rPr>
        <w:t>as well as</w:t>
      </w:r>
      <w:r w:rsidR="0046730D" w:rsidRPr="006D7B6A">
        <w:rPr>
          <w:rFonts w:ascii="Arial" w:hAnsi="Arial" w:cs="Arial"/>
        </w:rPr>
        <w:t xml:space="preserve"> </w:t>
      </w:r>
      <w:r w:rsidR="00E271F8" w:rsidRPr="006D7B6A">
        <w:rPr>
          <w:rFonts w:ascii="Arial" w:hAnsi="Arial" w:cs="Arial"/>
        </w:rPr>
        <w:t>take riser</w:t>
      </w:r>
      <w:r w:rsidR="00180F07" w:rsidRPr="006D7B6A">
        <w:rPr>
          <w:rFonts w:ascii="Arial" w:hAnsi="Arial" w:cs="Arial"/>
        </w:rPr>
        <w:t xml:space="preserve"> performance to the next level.</w:t>
      </w:r>
      <w:r w:rsidR="00383975" w:rsidRPr="006D7B6A">
        <w:rPr>
          <w:rFonts w:ascii="Arial" w:hAnsi="Arial" w:cs="Arial"/>
        </w:rPr>
        <w:t xml:space="preserve"> It also offers an exciting and significant possibility to </w:t>
      </w:r>
      <w:r w:rsidR="009A45ED">
        <w:rPr>
          <w:rFonts w:ascii="Arial" w:hAnsi="Arial" w:cs="Arial"/>
        </w:rPr>
        <w:t>retrofit this solution to</w:t>
      </w:r>
      <w:r w:rsidR="009A45ED" w:rsidRPr="006D7B6A">
        <w:rPr>
          <w:rFonts w:ascii="Arial" w:hAnsi="Arial" w:cs="Arial"/>
        </w:rPr>
        <w:t xml:space="preserve"> </w:t>
      </w:r>
      <w:r w:rsidR="00383975" w:rsidRPr="006D7B6A">
        <w:rPr>
          <w:rFonts w:ascii="Arial" w:hAnsi="Arial" w:cs="Arial"/>
        </w:rPr>
        <w:t>some of our existing technology and open it up to a wider market.</w:t>
      </w:r>
      <w:r w:rsidR="00180F07" w:rsidRPr="006D7B6A">
        <w:rPr>
          <w:rFonts w:ascii="Arial" w:hAnsi="Arial" w:cs="Arial"/>
        </w:rPr>
        <w:t>”</w:t>
      </w:r>
    </w:p>
    <w:p w:rsidR="00180F07" w:rsidRPr="006D7B6A" w:rsidRDefault="00180F07" w:rsidP="006D7B6A">
      <w:pPr>
        <w:shd w:val="clear" w:color="auto" w:fill="FFFFFF" w:themeFill="background1"/>
        <w:spacing w:after="120" w:line="360" w:lineRule="auto"/>
        <w:jc w:val="both"/>
        <w:rPr>
          <w:rFonts w:ascii="Arial" w:hAnsi="Arial" w:cs="Arial"/>
        </w:rPr>
      </w:pPr>
      <w:r w:rsidRPr="006D7B6A">
        <w:rPr>
          <w:rFonts w:ascii="Arial" w:hAnsi="Arial" w:cs="Arial"/>
        </w:rPr>
        <w:t xml:space="preserve">The two companies look forward to developing the new concept and making </w:t>
      </w:r>
      <w:r w:rsidR="00FA38BF" w:rsidRPr="006D7B6A">
        <w:rPr>
          <w:rFonts w:ascii="Arial" w:hAnsi="Arial" w:cs="Arial"/>
        </w:rPr>
        <w:t xml:space="preserve">it </w:t>
      </w:r>
      <w:r w:rsidRPr="006D7B6A">
        <w:rPr>
          <w:rFonts w:ascii="Arial" w:hAnsi="Arial" w:cs="Arial"/>
        </w:rPr>
        <w:t xml:space="preserve">available to the offshore oil and gas market as it has the potential to reduce operating costs, </w:t>
      </w:r>
      <w:r w:rsidR="006800A2" w:rsidRPr="006D7B6A">
        <w:rPr>
          <w:rFonts w:ascii="Arial" w:hAnsi="Arial" w:cs="Arial"/>
        </w:rPr>
        <w:t xml:space="preserve">improve </w:t>
      </w:r>
      <w:r w:rsidRPr="006D7B6A">
        <w:rPr>
          <w:rFonts w:ascii="Arial" w:hAnsi="Arial" w:cs="Arial"/>
        </w:rPr>
        <w:t>riser and wellhead integrity</w:t>
      </w:r>
      <w:r w:rsidR="006800A2" w:rsidRPr="006D7B6A">
        <w:rPr>
          <w:rFonts w:ascii="Arial" w:hAnsi="Arial" w:cs="Arial"/>
        </w:rPr>
        <w:t xml:space="preserve"> and </w:t>
      </w:r>
      <w:r w:rsidR="006D7B6A" w:rsidRPr="006D7B6A">
        <w:rPr>
          <w:rFonts w:ascii="Arial" w:hAnsi="Arial" w:cs="Arial"/>
        </w:rPr>
        <w:t>ex</w:t>
      </w:r>
      <w:r w:rsidR="006D7B6A">
        <w:rPr>
          <w:rFonts w:ascii="Arial" w:hAnsi="Arial" w:cs="Arial"/>
        </w:rPr>
        <w:t>tend</w:t>
      </w:r>
      <w:r w:rsidR="006D7B6A" w:rsidRPr="006D7B6A">
        <w:rPr>
          <w:rFonts w:ascii="Arial" w:hAnsi="Arial" w:cs="Arial"/>
        </w:rPr>
        <w:t xml:space="preserve"> </w:t>
      </w:r>
      <w:r w:rsidR="005F14CC" w:rsidRPr="006D7B6A">
        <w:rPr>
          <w:rFonts w:ascii="Arial" w:hAnsi="Arial" w:cs="Arial"/>
        </w:rPr>
        <w:t xml:space="preserve">vessel </w:t>
      </w:r>
      <w:r w:rsidR="00FA38BF" w:rsidRPr="006D7B6A">
        <w:rPr>
          <w:rFonts w:ascii="Arial" w:hAnsi="Arial" w:cs="Arial"/>
        </w:rPr>
        <w:t>uptime</w:t>
      </w:r>
      <w:r w:rsidR="006D7B6A">
        <w:rPr>
          <w:rFonts w:ascii="Arial" w:hAnsi="Arial" w:cs="Arial"/>
        </w:rPr>
        <w:t>. This includes</w:t>
      </w:r>
      <w:r w:rsidR="00FA38BF" w:rsidRPr="006D7B6A">
        <w:rPr>
          <w:rFonts w:ascii="Arial" w:hAnsi="Arial" w:cs="Arial"/>
        </w:rPr>
        <w:t xml:space="preserve"> </w:t>
      </w:r>
      <w:r w:rsidR="006D7B6A">
        <w:rPr>
          <w:rFonts w:ascii="Arial" w:hAnsi="Arial" w:cs="Arial"/>
        </w:rPr>
        <w:t>in</w:t>
      </w:r>
      <w:r w:rsidR="006D7B6A" w:rsidRPr="006D7B6A">
        <w:rPr>
          <w:rFonts w:ascii="Arial" w:hAnsi="Arial" w:cs="Arial"/>
        </w:rPr>
        <w:t xml:space="preserve"> </w:t>
      </w:r>
      <w:r w:rsidR="006800A2" w:rsidRPr="006D7B6A">
        <w:rPr>
          <w:rFonts w:ascii="Arial" w:hAnsi="Arial" w:cs="Arial"/>
        </w:rPr>
        <w:t xml:space="preserve">areas </w:t>
      </w:r>
      <w:r w:rsidR="00D900AA" w:rsidRPr="006D7B6A">
        <w:rPr>
          <w:rFonts w:ascii="Arial" w:hAnsi="Arial" w:cs="Arial"/>
        </w:rPr>
        <w:t>currently deemed not feasible for development</w:t>
      </w:r>
      <w:r w:rsidR="00D900AA">
        <w:rPr>
          <w:rFonts w:ascii="Arial" w:hAnsi="Arial" w:cs="Arial"/>
        </w:rPr>
        <w:t xml:space="preserve"> </w:t>
      </w:r>
      <w:r w:rsidR="006D7B6A">
        <w:rPr>
          <w:rFonts w:ascii="Arial" w:hAnsi="Arial" w:cs="Arial"/>
        </w:rPr>
        <w:t>where</w:t>
      </w:r>
      <w:r w:rsidR="006D7B6A" w:rsidRPr="006D7B6A">
        <w:rPr>
          <w:rFonts w:ascii="Arial" w:hAnsi="Arial" w:cs="Arial"/>
        </w:rPr>
        <w:t xml:space="preserve"> </w:t>
      </w:r>
      <w:r w:rsidR="006800A2" w:rsidRPr="006D7B6A">
        <w:rPr>
          <w:rFonts w:ascii="Arial" w:hAnsi="Arial" w:cs="Arial"/>
        </w:rPr>
        <w:t xml:space="preserve">volatile weather </w:t>
      </w:r>
      <w:r w:rsidR="00D900AA">
        <w:rPr>
          <w:rFonts w:ascii="Arial" w:hAnsi="Arial" w:cs="Arial"/>
        </w:rPr>
        <w:t>limit</w:t>
      </w:r>
      <w:r w:rsidR="009A45ED">
        <w:rPr>
          <w:rFonts w:ascii="Arial" w:hAnsi="Arial" w:cs="Arial"/>
        </w:rPr>
        <w:t>s</w:t>
      </w:r>
      <w:r w:rsidR="00D900AA">
        <w:rPr>
          <w:rFonts w:ascii="Arial" w:hAnsi="Arial" w:cs="Arial"/>
        </w:rPr>
        <w:t xml:space="preserve"> operational </w:t>
      </w:r>
      <w:r w:rsidR="006800A2" w:rsidRPr="006D7B6A">
        <w:rPr>
          <w:rFonts w:ascii="Arial" w:hAnsi="Arial" w:cs="Arial"/>
        </w:rPr>
        <w:t>windows</w:t>
      </w:r>
      <w:r w:rsidRPr="006D7B6A">
        <w:rPr>
          <w:rFonts w:ascii="Arial" w:hAnsi="Arial" w:cs="Arial"/>
        </w:rPr>
        <w:t xml:space="preserve">. </w:t>
      </w:r>
    </w:p>
    <w:p w:rsidR="00E47FBE" w:rsidRPr="006D7B6A" w:rsidRDefault="00E47FBE" w:rsidP="006D7B6A">
      <w:pPr>
        <w:shd w:val="clear" w:color="auto" w:fill="FFFFFF" w:themeFill="background1"/>
        <w:spacing w:after="0" w:line="360" w:lineRule="auto"/>
        <w:jc w:val="both"/>
        <w:rPr>
          <w:rFonts w:ascii="Arial" w:hAnsi="Arial" w:cs="Arial"/>
          <w:sz w:val="20"/>
        </w:rPr>
      </w:pPr>
    </w:p>
    <w:p w:rsidR="00824711" w:rsidRPr="0024566B" w:rsidRDefault="00824711" w:rsidP="00211ACE">
      <w:pPr>
        <w:spacing w:after="120" w:line="360" w:lineRule="auto"/>
        <w:jc w:val="center"/>
        <w:rPr>
          <w:rFonts w:ascii="Arial" w:hAnsi="Arial" w:cs="Arial"/>
          <w:b/>
        </w:rPr>
      </w:pPr>
      <w:r w:rsidRPr="0024566B">
        <w:rPr>
          <w:rFonts w:ascii="Arial" w:hAnsi="Arial" w:cs="Arial"/>
          <w:b/>
        </w:rPr>
        <w:t>~ENDS~</w:t>
      </w:r>
    </w:p>
    <w:p w:rsidR="006D7B6A" w:rsidRDefault="006D7B6A">
      <w:pPr>
        <w:rPr>
          <w:rFonts w:ascii="Arial" w:hAnsi="Arial" w:cs="Arial"/>
          <w:b/>
          <w:sz w:val="20"/>
          <w:szCs w:val="20"/>
        </w:rPr>
      </w:pPr>
      <w:r>
        <w:rPr>
          <w:rFonts w:ascii="Arial" w:hAnsi="Arial" w:cs="Arial"/>
          <w:b/>
          <w:sz w:val="20"/>
          <w:szCs w:val="20"/>
        </w:rPr>
        <w:br w:type="page"/>
      </w:r>
    </w:p>
    <w:p w:rsidR="00824711" w:rsidRPr="0024566B" w:rsidRDefault="00824711" w:rsidP="00644075">
      <w:pPr>
        <w:spacing w:after="120" w:line="360" w:lineRule="auto"/>
        <w:ind w:left="-144"/>
        <w:jc w:val="both"/>
        <w:rPr>
          <w:rFonts w:ascii="Arial" w:hAnsi="Arial" w:cs="Arial"/>
          <w:bCs/>
          <w:sz w:val="20"/>
          <w:szCs w:val="20"/>
        </w:rPr>
      </w:pPr>
      <w:r w:rsidRPr="0024566B">
        <w:rPr>
          <w:rFonts w:ascii="Arial" w:hAnsi="Arial" w:cs="Arial"/>
          <w:b/>
          <w:sz w:val="20"/>
          <w:szCs w:val="20"/>
        </w:rPr>
        <w:lastRenderedPageBreak/>
        <w:t>For press information:</w:t>
      </w:r>
      <w:r w:rsidRPr="0024566B">
        <w:rPr>
          <w:rFonts w:ascii="Arial" w:hAnsi="Arial" w:cs="Arial"/>
          <w:sz w:val="20"/>
          <w:szCs w:val="20"/>
        </w:rPr>
        <w:t xml:space="preserve">  </w:t>
      </w:r>
    </w:p>
    <w:p w:rsidR="00824711" w:rsidRPr="0024566B" w:rsidRDefault="00824711" w:rsidP="00644075">
      <w:pPr>
        <w:autoSpaceDE w:val="0"/>
        <w:autoSpaceDN w:val="0"/>
        <w:adjustRightInd w:val="0"/>
        <w:spacing w:after="120" w:line="360" w:lineRule="auto"/>
        <w:ind w:left="-142"/>
        <w:jc w:val="both"/>
        <w:rPr>
          <w:rFonts w:ascii="Arial" w:hAnsi="Arial" w:cs="Arial"/>
          <w:sz w:val="20"/>
          <w:szCs w:val="20"/>
        </w:rPr>
      </w:pPr>
      <w:r w:rsidRPr="0024566B">
        <w:rPr>
          <w:rFonts w:ascii="Arial" w:hAnsi="Arial" w:cs="Arial"/>
          <w:iCs/>
          <w:sz w:val="20"/>
          <w:szCs w:val="20"/>
        </w:rPr>
        <w:t xml:space="preserve">For additional information on Trelleborg solutions for all offshore and subsea markets, please call Ruth Clay, </w:t>
      </w:r>
      <w:r w:rsidRPr="0024566B">
        <w:rPr>
          <w:rFonts w:ascii="Arial" w:hAnsi="Arial" w:cs="Arial"/>
          <w:sz w:val="20"/>
          <w:szCs w:val="20"/>
        </w:rPr>
        <w:t xml:space="preserve">Mobile: +12817405755; </w:t>
      </w:r>
      <w:hyperlink r:id="rId10" w:history="1">
        <w:r w:rsidRPr="0024566B">
          <w:rPr>
            <w:rStyle w:val="Hyperlink"/>
            <w:rFonts w:ascii="Arial" w:hAnsi="Arial" w:cs="Arial"/>
            <w:color w:val="auto"/>
            <w:sz w:val="20"/>
            <w:szCs w:val="20"/>
          </w:rPr>
          <w:t>ruth.clay@trelleborg.com</w:t>
        </w:r>
      </w:hyperlink>
      <w:r w:rsidRPr="0024566B">
        <w:rPr>
          <w:rFonts w:ascii="Arial" w:eastAsia="SimSun" w:hAnsi="Arial" w:cs="Arial"/>
          <w:sz w:val="20"/>
          <w:szCs w:val="20"/>
        </w:rPr>
        <w:t>,</w:t>
      </w:r>
      <w:r w:rsidRPr="0024566B">
        <w:rPr>
          <w:rFonts w:ascii="Arial" w:hAnsi="Arial" w:cs="Arial"/>
          <w:sz w:val="20"/>
          <w:szCs w:val="20"/>
        </w:rPr>
        <w:t xml:space="preserve"> </w:t>
      </w:r>
      <w:hyperlink r:id="rId11" w:history="1">
        <w:r w:rsidRPr="0024566B">
          <w:rPr>
            <w:rStyle w:val="Hyperlink"/>
            <w:rFonts w:ascii="Arial" w:hAnsi="Arial" w:cs="Arial"/>
            <w:color w:val="auto"/>
            <w:sz w:val="20"/>
            <w:szCs w:val="20"/>
          </w:rPr>
          <w:t>@</w:t>
        </w:r>
        <w:proofErr w:type="spellStart"/>
        <w:r w:rsidRPr="0024566B">
          <w:rPr>
            <w:rStyle w:val="Hyperlink"/>
            <w:rFonts w:ascii="Arial" w:hAnsi="Arial" w:cs="Arial"/>
            <w:color w:val="auto"/>
            <w:sz w:val="20"/>
            <w:szCs w:val="20"/>
          </w:rPr>
          <w:t>OffshoreInsi</w:t>
        </w:r>
      </w:hyperlink>
      <w:r w:rsidRPr="0024566B">
        <w:rPr>
          <w:rStyle w:val="Hyperlink"/>
          <w:rFonts w:ascii="Arial" w:hAnsi="Arial" w:cs="Arial"/>
          <w:color w:val="auto"/>
          <w:sz w:val="20"/>
          <w:szCs w:val="20"/>
        </w:rPr>
        <w:t>ght</w:t>
      </w:r>
      <w:proofErr w:type="spellEnd"/>
      <w:r w:rsidRPr="0024566B">
        <w:rPr>
          <w:rStyle w:val="Hyperlink"/>
          <w:rFonts w:ascii="Arial" w:hAnsi="Arial" w:cs="Arial"/>
          <w:color w:val="auto"/>
          <w:sz w:val="20"/>
          <w:szCs w:val="20"/>
        </w:rPr>
        <w:t xml:space="preserve">, </w:t>
      </w:r>
      <w:hyperlink r:id="rId12" w:history="1">
        <w:r w:rsidRPr="0024566B">
          <w:rPr>
            <w:rStyle w:val="Hyperlink"/>
            <w:rFonts w:ascii="Arial" w:hAnsi="Arial" w:cs="Arial"/>
            <w:color w:val="auto"/>
            <w:sz w:val="20"/>
            <w:szCs w:val="20"/>
          </w:rPr>
          <w:t>LinkedIn</w:t>
        </w:r>
      </w:hyperlink>
      <w:r w:rsidRPr="0024566B">
        <w:rPr>
          <w:rFonts w:ascii="Arial" w:hAnsi="Arial" w:cs="Arial"/>
          <w:sz w:val="20"/>
          <w:szCs w:val="20"/>
        </w:rPr>
        <w:t xml:space="preserve">. </w:t>
      </w:r>
    </w:p>
    <w:p w:rsidR="00824711" w:rsidRPr="0024566B" w:rsidRDefault="00824711" w:rsidP="00644075">
      <w:pPr>
        <w:spacing w:after="120" w:line="360" w:lineRule="auto"/>
        <w:ind w:left="-142"/>
        <w:jc w:val="both"/>
        <w:rPr>
          <w:rFonts w:ascii="Arial" w:hAnsi="Arial" w:cs="Arial"/>
          <w:b/>
          <w:iCs/>
          <w:sz w:val="20"/>
          <w:szCs w:val="20"/>
          <w:lang w:val="en-GB"/>
        </w:rPr>
      </w:pPr>
      <w:r w:rsidRPr="0024566B">
        <w:rPr>
          <w:rFonts w:ascii="Arial" w:hAnsi="Arial" w:cs="Arial"/>
          <w:b/>
          <w:iCs/>
          <w:sz w:val="20"/>
          <w:szCs w:val="20"/>
          <w:lang w:val="en-GB"/>
        </w:rPr>
        <w:t xml:space="preserve">Notes to Editors: </w:t>
      </w:r>
    </w:p>
    <w:p w:rsidR="00110B13" w:rsidRPr="0024566B" w:rsidRDefault="00824711" w:rsidP="00110B13">
      <w:pPr>
        <w:spacing w:after="0" w:line="360" w:lineRule="auto"/>
        <w:ind w:left="-142"/>
        <w:jc w:val="both"/>
        <w:rPr>
          <w:rFonts w:ascii="Arial" w:eastAsiaTheme="minorEastAsia" w:hAnsi="Arial" w:cs="Arial"/>
          <w:sz w:val="20"/>
          <w:szCs w:val="20"/>
          <w:lang w:val="en-GB" w:eastAsia="zh-TW" w:bidi="th-TH"/>
        </w:rPr>
      </w:pPr>
      <w:r w:rsidRPr="0024566B">
        <w:rPr>
          <w:rFonts w:ascii="Arial" w:hAnsi="Arial" w:cs="Arial"/>
          <w:b/>
          <w:iCs/>
          <w:sz w:val="20"/>
          <w:szCs w:val="20"/>
          <w:lang w:val="en-GB"/>
        </w:rPr>
        <w:t>Trelleborg’s offshore operation and Trelleborg Group</w:t>
      </w:r>
    </w:p>
    <w:p w:rsidR="00824711" w:rsidRPr="0024566B" w:rsidRDefault="00824711" w:rsidP="00110B13">
      <w:pPr>
        <w:spacing w:line="240" w:lineRule="auto"/>
        <w:ind w:left="-142"/>
        <w:jc w:val="both"/>
        <w:rPr>
          <w:rFonts w:ascii="Arial" w:eastAsiaTheme="minorEastAsia" w:hAnsi="Arial" w:cs="Arial"/>
          <w:sz w:val="20"/>
          <w:szCs w:val="20"/>
          <w:lang w:val="en-GB" w:eastAsia="zh-TW" w:bidi="th-TH"/>
        </w:rPr>
      </w:pPr>
      <w:r w:rsidRPr="0024566B">
        <w:rPr>
          <w:rFonts w:ascii="Arial" w:hAnsi="Arial" w:cs="Arial"/>
          <w:sz w:val="20"/>
          <w:szCs w:val="20"/>
        </w:rPr>
        <w:t>Using advanced polymer material technology, Trelleborg’s offshore operation provides high integrity solutions for the harshest and most demanding offshore environments. As part of the Trelleborg Offshore &amp; Construction</w:t>
      </w:r>
      <w:r w:rsidRPr="0024566B" w:rsidDel="00EF649C">
        <w:rPr>
          <w:rFonts w:ascii="Arial" w:hAnsi="Arial" w:cs="Arial"/>
          <w:sz w:val="20"/>
          <w:szCs w:val="20"/>
        </w:rPr>
        <w:t xml:space="preserve"> </w:t>
      </w:r>
      <w:r w:rsidRPr="0024566B">
        <w:rPr>
          <w:rFonts w:ascii="Arial" w:hAnsi="Arial" w:cs="Arial"/>
          <w:sz w:val="20"/>
          <w:szCs w:val="20"/>
        </w:rPr>
        <w:t xml:space="preserve">Business Area of Trelleborg Group, </w:t>
      </w:r>
      <w:r w:rsidRPr="0024566B">
        <w:rPr>
          <w:rFonts w:ascii="Arial" w:hAnsi="Arial" w:cs="Arial"/>
          <w:b/>
          <w:sz w:val="20"/>
          <w:szCs w:val="20"/>
        </w:rPr>
        <w:t>Trelleborg’s offshore operation</w:t>
      </w:r>
      <w:r w:rsidRPr="0024566B">
        <w:rPr>
          <w:rFonts w:ascii="Arial" w:hAnsi="Arial" w:cs="Arial"/>
          <w:sz w:val="20"/>
          <w:szCs w:val="20"/>
        </w:rPr>
        <w:t xml:space="preserve"> specializes in the development and production of polymer and syntactic </w:t>
      </w:r>
      <w:r w:rsidRPr="0083696E">
        <w:rPr>
          <w:rFonts w:ascii="Arial" w:hAnsi="Arial" w:cs="Arial"/>
          <w:noProof/>
          <w:sz w:val="20"/>
          <w:szCs w:val="20"/>
        </w:rPr>
        <w:t>foam based</w:t>
      </w:r>
      <w:r w:rsidRPr="0024566B">
        <w:rPr>
          <w:rFonts w:ascii="Arial" w:hAnsi="Arial" w:cs="Arial"/>
          <w:sz w:val="20"/>
          <w:szCs w:val="20"/>
        </w:rPr>
        <w:t xml:space="preserve"> seismic, marine, buoyancy, cable protection and thermal insulation products, as well as rubber-based passive and active fire protection solutions for the offshore industry. </w:t>
      </w:r>
      <w:r w:rsidRPr="0024566B">
        <w:rPr>
          <w:rFonts w:ascii="Arial" w:hAnsi="Arial" w:cs="Arial"/>
          <w:iCs/>
          <w:sz w:val="20"/>
          <w:szCs w:val="20"/>
        </w:rPr>
        <w:t>Within its portfolio are some long established and respected brands including, CRP, OCP, Viking and Emerson &amp; Cuming</w:t>
      </w:r>
      <w:r w:rsidRPr="0024566B">
        <w:rPr>
          <w:rFonts w:ascii="Arial" w:hAnsi="Arial" w:cs="Arial"/>
          <w:sz w:val="20"/>
          <w:szCs w:val="20"/>
        </w:rPr>
        <w:t xml:space="preserve">. Trelleborg’s offshore operation has been providing innovative solutions to the industry for over 30 years. </w:t>
      </w:r>
      <w:hyperlink r:id="rId13" w:history="1">
        <w:r w:rsidRPr="0024566B">
          <w:rPr>
            <w:rFonts w:ascii="Arial" w:eastAsia="SimHei" w:hAnsi="Arial" w:cs="Arial"/>
            <w:sz w:val="20"/>
            <w:szCs w:val="20"/>
            <w:u w:val="single"/>
          </w:rPr>
          <w:t>www.trelleborg.com/offshore</w:t>
        </w:r>
      </w:hyperlink>
    </w:p>
    <w:p w:rsidR="00824711" w:rsidRPr="0024566B" w:rsidRDefault="00565006" w:rsidP="00565006">
      <w:pPr>
        <w:spacing w:after="120" w:line="240" w:lineRule="auto"/>
        <w:ind w:left="-142"/>
        <w:jc w:val="both"/>
        <w:rPr>
          <w:rFonts w:ascii="Arial" w:hAnsi="Arial" w:cs="Arial"/>
        </w:rPr>
      </w:pPr>
      <w:r w:rsidRPr="00565006">
        <w:rPr>
          <w:rFonts w:ascii="Arial" w:hAnsi="Arial" w:cs="Arial"/>
          <w:b/>
          <w:bCs/>
          <w:iCs/>
          <w:sz w:val="20"/>
          <w:szCs w:val="20"/>
        </w:rPr>
        <w:t xml:space="preserve">Trelleborg </w:t>
      </w:r>
      <w:r w:rsidRPr="00565006">
        <w:rPr>
          <w:rFonts w:ascii="Arial" w:hAnsi="Arial" w:cs="Arial"/>
          <w:bCs/>
          <w:iCs/>
          <w:sz w:val="20"/>
          <w:szCs w:val="20"/>
        </w:rPr>
        <w:t xml:space="preserve">is a world leader in engineered polymer solutions that seal, damp and protect critical applications in demanding environments. Its innovative solutions accelerate performance for customers in a sustainable way. The Trelleborg Group has annual sales of about SEK 32 billion (EUR 3.28 billion, USD 3.69 billion) and operations in about 50 countries. The Group comprises five business areas: Trelleborg Coated Systems, Trelleborg Industrial Solutions, Trelleborg Offshore &amp; Construction, Trelleborg Sealing Solutions and Trelleborg Wheel Systems. The Trelleborg share has been listed on the Stock Exchange since 1964 and is listed on Nasdaq Stockholm, Large Cap. </w:t>
      </w:r>
      <w:r w:rsidRPr="00565006">
        <w:rPr>
          <w:rFonts w:ascii="Arial" w:hAnsi="Arial" w:cs="Arial"/>
          <w:bCs/>
          <w:iCs/>
          <w:sz w:val="20"/>
          <w:szCs w:val="20"/>
        </w:rPr>
        <w:tab/>
        <w:t>www.trelleborg.com.</w:t>
      </w:r>
    </w:p>
    <w:sectPr w:rsidR="00824711" w:rsidRPr="0024566B">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9F5" w:rsidRDefault="003569F5" w:rsidP="00062857">
      <w:pPr>
        <w:spacing w:after="0" w:line="240" w:lineRule="auto"/>
      </w:pPr>
      <w:r>
        <w:separator/>
      </w:r>
    </w:p>
  </w:endnote>
  <w:endnote w:type="continuationSeparator" w:id="0">
    <w:p w:rsidR="003569F5" w:rsidRDefault="003569F5" w:rsidP="0006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imHei">
    <w:altName w:val="黑体"/>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9F5" w:rsidRDefault="003569F5" w:rsidP="00062857">
      <w:pPr>
        <w:spacing w:after="0" w:line="240" w:lineRule="auto"/>
      </w:pPr>
      <w:r>
        <w:separator/>
      </w:r>
    </w:p>
  </w:footnote>
  <w:footnote w:type="continuationSeparator" w:id="0">
    <w:p w:rsidR="003569F5" w:rsidRDefault="003569F5" w:rsidP="00062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2EE" w:rsidRDefault="00D942EE" w:rsidP="00D942EE">
    <w:pPr>
      <w:pStyle w:val="Header"/>
      <w:jc w:val="center"/>
    </w:pPr>
    <w:r>
      <w:rPr>
        <w:noProof/>
      </w:rPr>
      <w:drawing>
        <wp:inline distT="0" distB="0" distL="0" distR="0" wp14:anchorId="1D88511F" wp14:editId="119CD15B">
          <wp:extent cx="14478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B 40_RGB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800" cy="609600"/>
                  </a:xfrm>
                  <a:prstGeom prst="rect">
                    <a:avLst/>
                  </a:prstGeom>
                </pic:spPr>
              </pic:pic>
            </a:graphicData>
          </a:graphic>
        </wp:inline>
      </w:drawing>
    </w:r>
  </w:p>
  <w:p w:rsidR="00D942EE" w:rsidRDefault="00D942EE" w:rsidP="00D942E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YyMTEwMzY3NDIytDRT0lEKTi0uzszPAykwNqwFAJiKCyotAAAA"/>
  </w:docVars>
  <w:rsids>
    <w:rsidRoot w:val="0056288C"/>
    <w:rsid w:val="00003877"/>
    <w:rsid w:val="00010B0E"/>
    <w:rsid w:val="000164FE"/>
    <w:rsid w:val="00017EC2"/>
    <w:rsid w:val="0002048A"/>
    <w:rsid w:val="00047504"/>
    <w:rsid w:val="00062857"/>
    <w:rsid w:val="00067CBE"/>
    <w:rsid w:val="00073F85"/>
    <w:rsid w:val="00074FDC"/>
    <w:rsid w:val="0008059F"/>
    <w:rsid w:val="00095DCC"/>
    <w:rsid w:val="000D2592"/>
    <w:rsid w:val="000D7D6A"/>
    <w:rsid w:val="000E2EEA"/>
    <w:rsid w:val="000E330F"/>
    <w:rsid w:val="000F75E5"/>
    <w:rsid w:val="000F7683"/>
    <w:rsid w:val="0010507C"/>
    <w:rsid w:val="00110B13"/>
    <w:rsid w:val="001177E8"/>
    <w:rsid w:val="00126EB7"/>
    <w:rsid w:val="001338F4"/>
    <w:rsid w:val="00136A17"/>
    <w:rsid w:val="001377C0"/>
    <w:rsid w:val="001455F3"/>
    <w:rsid w:val="00147F79"/>
    <w:rsid w:val="0016278E"/>
    <w:rsid w:val="001650E2"/>
    <w:rsid w:val="00180F07"/>
    <w:rsid w:val="00186414"/>
    <w:rsid w:val="001873F1"/>
    <w:rsid w:val="001A7B0B"/>
    <w:rsid w:val="001B3AD0"/>
    <w:rsid w:val="001E2678"/>
    <w:rsid w:val="001F30D3"/>
    <w:rsid w:val="001F460D"/>
    <w:rsid w:val="001F599D"/>
    <w:rsid w:val="00211ACE"/>
    <w:rsid w:val="00213A4D"/>
    <w:rsid w:val="00224111"/>
    <w:rsid w:val="00235298"/>
    <w:rsid w:val="00236536"/>
    <w:rsid w:val="0024566B"/>
    <w:rsid w:val="00262BA7"/>
    <w:rsid w:val="002677AF"/>
    <w:rsid w:val="00290317"/>
    <w:rsid w:val="002978A3"/>
    <w:rsid w:val="002A0BA4"/>
    <w:rsid w:val="002A4049"/>
    <w:rsid w:val="002B639C"/>
    <w:rsid w:val="002E1B0D"/>
    <w:rsid w:val="002F1F53"/>
    <w:rsid w:val="002F620F"/>
    <w:rsid w:val="00306BC9"/>
    <w:rsid w:val="00332A75"/>
    <w:rsid w:val="00335AFC"/>
    <w:rsid w:val="00341B98"/>
    <w:rsid w:val="00342A79"/>
    <w:rsid w:val="003479E5"/>
    <w:rsid w:val="003569F5"/>
    <w:rsid w:val="0036507A"/>
    <w:rsid w:val="0037410C"/>
    <w:rsid w:val="0037435C"/>
    <w:rsid w:val="003749F4"/>
    <w:rsid w:val="00383975"/>
    <w:rsid w:val="00396DD2"/>
    <w:rsid w:val="00397FC8"/>
    <w:rsid w:val="003A1CBE"/>
    <w:rsid w:val="003A41B3"/>
    <w:rsid w:val="003B24C0"/>
    <w:rsid w:val="003C69DE"/>
    <w:rsid w:val="003E07F2"/>
    <w:rsid w:val="003E5963"/>
    <w:rsid w:val="003F0D34"/>
    <w:rsid w:val="004123EE"/>
    <w:rsid w:val="00425751"/>
    <w:rsid w:val="0042787A"/>
    <w:rsid w:val="00442560"/>
    <w:rsid w:val="00442D3A"/>
    <w:rsid w:val="0044503B"/>
    <w:rsid w:val="00446931"/>
    <w:rsid w:val="004563CD"/>
    <w:rsid w:val="00456595"/>
    <w:rsid w:val="0046730D"/>
    <w:rsid w:val="00476127"/>
    <w:rsid w:val="004853FB"/>
    <w:rsid w:val="004942C3"/>
    <w:rsid w:val="00496AFD"/>
    <w:rsid w:val="004A1972"/>
    <w:rsid w:val="004A4793"/>
    <w:rsid w:val="004A6FE9"/>
    <w:rsid w:val="004C1455"/>
    <w:rsid w:val="004C5E0A"/>
    <w:rsid w:val="004E0463"/>
    <w:rsid w:val="00501748"/>
    <w:rsid w:val="0051282E"/>
    <w:rsid w:val="005231DB"/>
    <w:rsid w:val="005450C0"/>
    <w:rsid w:val="00553B4B"/>
    <w:rsid w:val="005627B3"/>
    <w:rsid w:val="0056288C"/>
    <w:rsid w:val="00562D67"/>
    <w:rsid w:val="00565006"/>
    <w:rsid w:val="005717C4"/>
    <w:rsid w:val="00571D94"/>
    <w:rsid w:val="005738B2"/>
    <w:rsid w:val="005849E4"/>
    <w:rsid w:val="00586E00"/>
    <w:rsid w:val="005B2841"/>
    <w:rsid w:val="005C093C"/>
    <w:rsid w:val="005C3106"/>
    <w:rsid w:val="005C4F5D"/>
    <w:rsid w:val="005D713A"/>
    <w:rsid w:val="005E7CCA"/>
    <w:rsid w:val="005F14CC"/>
    <w:rsid w:val="00611BCC"/>
    <w:rsid w:val="00615399"/>
    <w:rsid w:val="0061733A"/>
    <w:rsid w:val="00623638"/>
    <w:rsid w:val="00627CD4"/>
    <w:rsid w:val="006365B0"/>
    <w:rsid w:val="006400AE"/>
    <w:rsid w:val="00644075"/>
    <w:rsid w:val="0065032E"/>
    <w:rsid w:val="0065180C"/>
    <w:rsid w:val="00653299"/>
    <w:rsid w:val="00654756"/>
    <w:rsid w:val="0066326F"/>
    <w:rsid w:val="00665B11"/>
    <w:rsid w:val="006669C3"/>
    <w:rsid w:val="006800A2"/>
    <w:rsid w:val="006A0703"/>
    <w:rsid w:val="006A07C4"/>
    <w:rsid w:val="006A5258"/>
    <w:rsid w:val="006B5655"/>
    <w:rsid w:val="006C5E72"/>
    <w:rsid w:val="006D7B6A"/>
    <w:rsid w:val="006E3415"/>
    <w:rsid w:val="006E42CF"/>
    <w:rsid w:val="006F64A6"/>
    <w:rsid w:val="007000C0"/>
    <w:rsid w:val="00703EC6"/>
    <w:rsid w:val="007046AA"/>
    <w:rsid w:val="007105DF"/>
    <w:rsid w:val="00714895"/>
    <w:rsid w:val="00714896"/>
    <w:rsid w:val="00727014"/>
    <w:rsid w:val="007444CD"/>
    <w:rsid w:val="00753C85"/>
    <w:rsid w:val="00754B84"/>
    <w:rsid w:val="00764CD3"/>
    <w:rsid w:val="0077589B"/>
    <w:rsid w:val="00775D6C"/>
    <w:rsid w:val="00777913"/>
    <w:rsid w:val="00781A30"/>
    <w:rsid w:val="00783751"/>
    <w:rsid w:val="00797B33"/>
    <w:rsid w:val="007A30A2"/>
    <w:rsid w:val="007B2684"/>
    <w:rsid w:val="007B2884"/>
    <w:rsid w:val="007C189A"/>
    <w:rsid w:val="007D4EC1"/>
    <w:rsid w:val="007D65B3"/>
    <w:rsid w:val="007D6DBE"/>
    <w:rsid w:val="007E2DE4"/>
    <w:rsid w:val="007E67DA"/>
    <w:rsid w:val="007F462E"/>
    <w:rsid w:val="007F4C1D"/>
    <w:rsid w:val="00810B50"/>
    <w:rsid w:val="00824711"/>
    <w:rsid w:val="00827D5D"/>
    <w:rsid w:val="0083696E"/>
    <w:rsid w:val="00840033"/>
    <w:rsid w:val="00856D65"/>
    <w:rsid w:val="008630A6"/>
    <w:rsid w:val="0087088B"/>
    <w:rsid w:val="0088002F"/>
    <w:rsid w:val="00883950"/>
    <w:rsid w:val="00894E35"/>
    <w:rsid w:val="008A3E9B"/>
    <w:rsid w:val="008B3DEE"/>
    <w:rsid w:val="008C073F"/>
    <w:rsid w:val="008C2788"/>
    <w:rsid w:val="008C5D89"/>
    <w:rsid w:val="008F3768"/>
    <w:rsid w:val="008F4C63"/>
    <w:rsid w:val="009069E7"/>
    <w:rsid w:val="009160FE"/>
    <w:rsid w:val="0093222F"/>
    <w:rsid w:val="00937329"/>
    <w:rsid w:val="00941F29"/>
    <w:rsid w:val="009513E1"/>
    <w:rsid w:val="00962BBB"/>
    <w:rsid w:val="00967EBC"/>
    <w:rsid w:val="00972493"/>
    <w:rsid w:val="009735FF"/>
    <w:rsid w:val="00975793"/>
    <w:rsid w:val="009831DB"/>
    <w:rsid w:val="009A380F"/>
    <w:rsid w:val="009A45ED"/>
    <w:rsid w:val="009A502F"/>
    <w:rsid w:val="009B4908"/>
    <w:rsid w:val="009C5A97"/>
    <w:rsid w:val="009D637C"/>
    <w:rsid w:val="009D76F6"/>
    <w:rsid w:val="009F2DF0"/>
    <w:rsid w:val="009F302E"/>
    <w:rsid w:val="00A019A6"/>
    <w:rsid w:val="00A16ACC"/>
    <w:rsid w:val="00A17B80"/>
    <w:rsid w:val="00A23B73"/>
    <w:rsid w:val="00A2780D"/>
    <w:rsid w:val="00A34477"/>
    <w:rsid w:val="00A362AA"/>
    <w:rsid w:val="00A42FE5"/>
    <w:rsid w:val="00A44A50"/>
    <w:rsid w:val="00A45ABA"/>
    <w:rsid w:val="00A464D3"/>
    <w:rsid w:val="00A61CD1"/>
    <w:rsid w:val="00A85BB2"/>
    <w:rsid w:val="00AA2E55"/>
    <w:rsid w:val="00AA68B0"/>
    <w:rsid w:val="00AA7559"/>
    <w:rsid w:val="00AB7321"/>
    <w:rsid w:val="00AC13CE"/>
    <w:rsid w:val="00AC3559"/>
    <w:rsid w:val="00AC5846"/>
    <w:rsid w:val="00AC66F2"/>
    <w:rsid w:val="00AD2321"/>
    <w:rsid w:val="00AE23C9"/>
    <w:rsid w:val="00AE6177"/>
    <w:rsid w:val="00AF100C"/>
    <w:rsid w:val="00B069AB"/>
    <w:rsid w:val="00B106F3"/>
    <w:rsid w:val="00B1333E"/>
    <w:rsid w:val="00B21705"/>
    <w:rsid w:val="00B221DB"/>
    <w:rsid w:val="00B26390"/>
    <w:rsid w:val="00B275B4"/>
    <w:rsid w:val="00B27EC1"/>
    <w:rsid w:val="00B30674"/>
    <w:rsid w:val="00B36DFA"/>
    <w:rsid w:val="00B40B39"/>
    <w:rsid w:val="00B411C7"/>
    <w:rsid w:val="00B47315"/>
    <w:rsid w:val="00B62EBF"/>
    <w:rsid w:val="00B63F96"/>
    <w:rsid w:val="00B8176A"/>
    <w:rsid w:val="00B87743"/>
    <w:rsid w:val="00B92D08"/>
    <w:rsid w:val="00B96E31"/>
    <w:rsid w:val="00BA5C00"/>
    <w:rsid w:val="00BB37CF"/>
    <w:rsid w:val="00BB6A67"/>
    <w:rsid w:val="00BD2BCB"/>
    <w:rsid w:val="00BE70F7"/>
    <w:rsid w:val="00BF1D32"/>
    <w:rsid w:val="00BF3DE7"/>
    <w:rsid w:val="00BF559A"/>
    <w:rsid w:val="00C12D34"/>
    <w:rsid w:val="00C24DDF"/>
    <w:rsid w:val="00C32438"/>
    <w:rsid w:val="00C42533"/>
    <w:rsid w:val="00C45770"/>
    <w:rsid w:val="00C52A8C"/>
    <w:rsid w:val="00C571F1"/>
    <w:rsid w:val="00C610ED"/>
    <w:rsid w:val="00C62C18"/>
    <w:rsid w:val="00C71F26"/>
    <w:rsid w:val="00C82D8E"/>
    <w:rsid w:val="00C83521"/>
    <w:rsid w:val="00C860EB"/>
    <w:rsid w:val="00C87261"/>
    <w:rsid w:val="00C934B3"/>
    <w:rsid w:val="00CA0AF8"/>
    <w:rsid w:val="00CA133A"/>
    <w:rsid w:val="00CA7BC7"/>
    <w:rsid w:val="00CA7F04"/>
    <w:rsid w:val="00CB5BA4"/>
    <w:rsid w:val="00CC47A9"/>
    <w:rsid w:val="00CC666B"/>
    <w:rsid w:val="00CD32D4"/>
    <w:rsid w:val="00CE42A6"/>
    <w:rsid w:val="00CE7883"/>
    <w:rsid w:val="00CF4E3D"/>
    <w:rsid w:val="00D00418"/>
    <w:rsid w:val="00D00BAB"/>
    <w:rsid w:val="00D026F6"/>
    <w:rsid w:val="00D03BA8"/>
    <w:rsid w:val="00D155FB"/>
    <w:rsid w:val="00D20F73"/>
    <w:rsid w:val="00D41ABE"/>
    <w:rsid w:val="00D51A5B"/>
    <w:rsid w:val="00D565D5"/>
    <w:rsid w:val="00D620A3"/>
    <w:rsid w:val="00D82BCF"/>
    <w:rsid w:val="00D900AA"/>
    <w:rsid w:val="00D92BDC"/>
    <w:rsid w:val="00D942EE"/>
    <w:rsid w:val="00D970D3"/>
    <w:rsid w:val="00DA67ED"/>
    <w:rsid w:val="00DB4768"/>
    <w:rsid w:val="00DB5243"/>
    <w:rsid w:val="00DD708E"/>
    <w:rsid w:val="00DE08F4"/>
    <w:rsid w:val="00DF01C4"/>
    <w:rsid w:val="00DF0D42"/>
    <w:rsid w:val="00DF152A"/>
    <w:rsid w:val="00E10E87"/>
    <w:rsid w:val="00E11757"/>
    <w:rsid w:val="00E11EC8"/>
    <w:rsid w:val="00E14015"/>
    <w:rsid w:val="00E271F8"/>
    <w:rsid w:val="00E3582E"/>
    <w:rsid w:val="00E47FBE"/>
    <w:rsid w:val="00E52891"/>
    <w:rsid w:val="00E55E2D"/>
    <w:rsid w:val="00E64022"/>
    <w:rsid w:val="00E74C69"/>
    <w:rsid w:val="00E75D8F"/>
    <w:rsid w:val="00E84C90"/>
    <w:rsid w:val="00E93CC4"/>
    <w:rsid w:val="00EA5B76"/>
    <w:rsid w:val="00EC52CA"/>
    <w:rsid w:val="00EC5648"/>
    <w:rsid w:val="00ED2EE0"/>
    <w:rsid w:val="00ED43E7"/>
    <w:rsid w:val="00ED4B5E"/>
    <w:rsid w:val="00ED5A31"/>
    <w:rsid w:val="00ED782F"/>
    <w:rsid w:val="00EE69C5"/>
    <w:rsid w:val="00F131BE"/>
    <w:rsid w:val="00F1705A"/>
    <w:rsid w:val="00F208E3"/>
    <w:rsid w:val="00F3618A"/>
    <w:rsid w:val="00F37454"/>
    <w:rsid w:val="00F41FD9"/>
    <w:rsid w:val="00F4756E"/>
    <w:rsid w:val="00F53CAE"/>
    <w:rsid w:val="00F65C34"/>
    <w:rsid w:val="00F74340"/>
    <w:rsid w:val="00F87E19"/>
    <w:rsid w:val="00FA0EDB"/>
    <w:rsid w:val="00FA298D"/>
    <w:rsid w:val="00FA38BF"/>
    <w:rsid w:val="00FC1BB4"/>
    <w:rsid w:val="00FC7CA1"/>
    <w:rsid w:val="00FD0AE9"/>
    <w:rsid w:val="00FD1C34"/>
    <w:rsid w:val="00FD3B3C"/>
    <w:rsid w:val="00FD5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A51826-E542-4E66-86E7-280F5850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cbnttl">
    <w:name w:val="ccbnttl"/>
    <w:basedOn w:val="DefaultParagraphFont"/>
    <w:rsid w:val="0056288C"/>
  </w:style>
  <w:style w:type="paragraph" w:styleId="NormalWeb">
    <w:name w:val="Normal (Web)"/>
    <w:basedOn w:val="Normal"/>
    <w:uiPriority w:val="99"/>
    <w:semiHidden/>
    <w:unhideWhenUsed/>
    <w:rsid w:val="0056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6288C"/>
  </w:style>
  <w:style w:type="character" w:styleId="Hyperlink">
    <w:name w:val="Hyperlink"/>
    <w:basedOn w:val="DefaultParagraphFont"/>
    <w:unhideWhenUsed/>
    <w:rsid w:val="0056288C"/>
    <w:rPr>
      <w:color w:val="0000FF"/>
      <w:u w:val="single"/>
    </w:rPr>
  </w:style>
  <w:style w:type="paragraph" w:styleId="BalloonText">
    <w:name w:val="Balloon Text"/>
    <w:basedOn w:val="Normal"/>
    <w:link w:val="BalloonTextChar"/>
    <w:uiPriority w:val="99"/>
    <w:semiHidden/>
    <w:unhideWhenUsed/>
    <w:rsid w:val="005628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88C"/>
    <w:rPr>
      <w:rFonts w:ascii="Segoe UI" w:hAnsi="Segoe UI" w:cs="Segoe UI"/>
      <w:sz w:val="18"/>
      <w:szCs w:val="18"/>
    </w:rPr>
  </w:style>
  <w:style w:type="paragraph" w:styleId="Revision">
    <w:name w:val="Revision"/>
    <w:hidden/>
    <w:uiPriority w:val="99"/>
    <w:semiHidden/>
    <w:rsid w:val="0061733A"/>
    <w:pPr>
      <w:spacing w:after="0" w:line="240" w:lineRule="auto"/>
    </w:pPr>
  </w:style>
  <w:style w:type="paragraph" w:styleId="Header">
    <w:name w:val="header"/>
    <w:basedOn w:val="Normal"/>
    <w:link w:val="HeaderChar"/>
    <w:uiPriority w:val="99"/>
    <w:unhideWhenUsed/>
    <w:rsid w:val="00062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857"/>
  </w:style>
  <w:style w:type="paragraph" w:styleId="Footer">
    <w:name w:val="footer"/>
    <w:basedOn w:val="Normal"/>
    <w:link w:val="FooterChar"/>
    <w:uiPriority w:val="99"/>
    <w:unhideWhenUsed/>
    <w:rsid w:val="00062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857"/>
  </w:style>
  <w:style w:type="character" w:styleId="CommentReference">
    <w:name w:val="annotation reference"/>
    <w:basedOn w:val="DefaultParagraphFont"/>
    <w:uiPriority w:val="99"/>
    <w:semiHidden/>
    <w:unhideWhenUsed/>
    <w:rsid w:val="0008059F"/>
    <w:rPr>
      <w:sz w:val="16"/>
      <w:szCs w:val="16"/>
    </w:rPr>
  </w:style>
  <w:style w:type="paragraph" w:styleId="CommentText">
    <w:name w:val="annotation text"/>
    <w:basedOn w:val="Normal"/>
    <w:link w:val="CommentTextChar"/>
    <w:uiPriority w:val="99"/>
    <w:semiHidden/>
    <w:unhideWhenUsed/>
    <w:rsid w:val="0008059F"/>
    <w:pPr>
      <w:spacing w:line="240" w:lineRule="auto"/>
    </w:pPr>
    <w:rPr>
      <w:sz w:val="20"/>
      <w:szCs w:val="20"/>
    </w:rPr>
  </w:style>
  <w:style w:type="character" w:customStyle="1" w:styleId="CommentTextChar">
    <w:name w:val="Comment Text Char"/>
    <w:basedOn w:val="DefaultParagraphFont"/>
    <w:link w:val="CommentText"/>
    <w:uiPriority w:val="99"/>
    <w:semiHidden/>
    <w:rsid w:val="0008059F"/>
    <w:rPr>
      <w:sz w:val="20"/>
      <w:szCs w:val="20"/>
    </w:rPr>
  </w:style>
  <w:style w:type="paragraph" w:styleId="CommentSubject">
    <w:name w:val="annotation subject"/>
    <w:basedOn w:val="CommentText"/>
    <w:next w:val="CommentText"/>
    <w:link w:val="CommentSubjectChar"/>
    <w:uiPriority w:val="99"/>
    <w:semiHidden/>
    <w:unhideWhenUsed/>
    <w:rsid w:val="0008059F"/>
    <w:rPr>
      <w:b/>
      <w:bCs/>
    </w:rPr>
  </w:style>
  <w:style w:type="character" w:customStyle="1" w:styleId="CommentSubjectChar">
    <w:name w:val="Comment Subject Char"/>
    <w:basedOn w:val="CommentTextChar"/>
    <w:link w:val="CommentSubject"/>
    <w:uiPriority w:val="99"/>
    <w:semiHidden/>
    <w:rsid w:val="0008059F"/>
    <w:rPr>
      <w:b/>
      <w:bCs/>
      <w:sz w:val="20"/>
      <w:szCs w:val="20"/>
    </w:rPr>
  </w:style>
  <w:style w:type="character" w:styleId="FollowedHyperlink">
    <w:name w:val="FollowedHyperlink"/>
    <w:basedOn w:val="DefaultParagraphFont"/>
    <w:uiPriority w:val="99"/>
    <w:semiHidden/>
    <w:unhideWhenUsed/>
    <w:rsid w:val="00290317"/>
    <w:rPr>
      <w:color w:val="954F72" w:themeColor="followedHyperlink"/>
      <w:u w:val="single"/>
    </w:rPr>
  </w:style>
  <w:style w:type="character" w:styleId="PlaceholderText">
    <w:name w:val="Placeholder Text"/>
    <w:basedOn w:val="DefaultParagraphFont"/>
    <w:uiPriority w:val="99"/>
    <w:semiHidden/>
    <w:rsid w:val="000475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437554">
      <w:bodyDiv w:val="1"/>
      <w:marLeft w:val="0"/>
      <w:marRight w:val="0"/>
      <w:marTop w:val="0"/>
      <w:marBottom w:val="0"/>
      <w:divBdr>
        <w:top w:val="none" w:sz="0" w:space="0" w:color="auto"/>
        <w:left w:val="none" w:sz="0" w:space="0" w:color="auto"/>
        <w:bottom w:val="none" w:sz="0" w:space="0" w:color="auto"/>
        <w:right w:val="none" w:sz="0" w:space="0" w:color="auto"/>
      </w:divBdr>
      <w:divsChild>
        <w:div w:id="491681654">
          <w:marLeft w:val="0"/>
          <w:marRight w:val="0"/>
          <w:marTop w:val="0"/>
          <w:marBottom w:val="0"/>
          <w:divBdr>
            <w:top w:val="none" w:sz="0" w:space="0" w:color="auto"/>
            <w:left w:val="none" w:sz="0" w:space="0" w:color="auto"/>
            <w:bottom w:val="none" w:sz="0" w:space="0" w:color="auto"/>
            <w:right w:val="none" w:sz="0" w:space="0" w:color="auto"/>
          </w:divBdr>
        </w:div>
      </w:divsChild>
    </w:div>
    <w:div w:id="967322986">
      <w:bodyDiv w:val="1"/>
      <w:marLeft w:val="0"/>
      <w:marRight w:val="0"/>
      <w:marTop w:val="0"/>
      <w:marBottom w:val="0"/>
      <w:divBdr>
        <w:top w:val="none" w:sz="0" w:space="0" w:color="auto"/>
        <w:left w:val="none" w:sz="0" w:space="0" w:color="auto"/>
        <w:bottom w:val="none" w:sz="0" w:space="0" w:color="auto"/>
        <w:right w:val="none" w:sz="0" w:space="0" w:color="auto"/>
      </w:divBdr>
    </w:div>
    <w:div w:id="1539009130">
      <w:bodyDiv w:val="1"/>
      <w:marLeft w:val="0"/>
      <w:marRight w:val="0"/>
      <w:marTop w:val="0"/>
      <w:marBottom w:val="0"/>
      <w:divBdr>
        <w:top w:val="none" w:sz="0" w:space="0" w:color="auto"/>
        <w:left w:val="none" w:sz="0" w:space="0" w:color="auto"/>
        <w:bottom w:val="none" w:sz="0" w:space="0" w:color="auto"/>
        <w:right w:val="none" w:sz="0" w:space="0" w:color="auto"/>
      </w:divBdr>
    </w:div>
    <w:div w:id="155053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elleborg.com/offshor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nkedin.com/company/trelleborg-offsho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OffshoreInsigh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uth.clay@trelleborg.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D9AC3F88807B4E8AA99483D3A3C12C" ma:contentTypeVersion="0" ma:contentTypeDescription="Create a new document." ma:contentTypeScope="" ma:versionID="a88611c327a7adbd8a1eb56464691b5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641B7-C074-4C88-ACA6-C83AA9081A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3FF6EA-726B-4F0B-BCD6-4CBFC1298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373816-A916-4D88-9B1D-DF5AF7D8C571}">
  <ds:schemaRefs>
    <ds:schemaRef ds:uri="http://schemas.microsoft.com/sharepoint/v3/contenttype/forms"/>
  </ds:schemaRefs>
</ds:datastoreItem>
</file>

<file path=customXml/itemProps4.xml><?xml version="1.0" encoding="utf-8"?>
<ds:datastoreItem xmlns:ds="http://schemas.openxmlformats.org/officeDocument/2006/customXml" ds:itemID="{18801448-8F9C-424B-96B4-77359D04A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Trelleborg AB</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Collin Gaskill</dc:creator>
  <cp:lastModifiedBy>Ruth Clay</cp:lastModifiedBy>
  <cp:revision>2</cp:revision>
  <cp:lastPrinted>2017-05-30T16:48:00Z</cp:lastPrinted>
  <dcterms:created xsi:type="dcterms:W3CDTF">2018-04-09T18:42:00Z</dcterms:created>
  <dcterms:modified xsi:type="dcterms:W3CDTF">2018-04-09T18:42:00Z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0x010100BFD9AC3F88807B4E8AA99483D3A3C12C</vt:lpwstr>
  </property>
  <property fmtid="{D5CDD505-2E9C-101B-9397-08002B2CF9AE}" pid="3" name="Addo_DocID">
    <vt:lpwstr>47d532ae-da4b-4a10-b830-f72dedf04616</vt:lpwstr>
  </property>
</Properties>
</file>