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8B2B" w14:textId="77777777" w:rsidR="00F21326" w:rsidRPr="00CA4291" w:rsidRDefault="00F21326" w:rsidP="00534B2A">
      <w:pPr>
        <w:spacing w:line="240" w:lineRule="auto"/>
        <w:rPr>
          <w:rFonts w:ascii="Franklin Gothic Book" w:hAnsi="Franklin Gothic Book" w:cs="Arial"/>
        </w:rPr>
      </w:pPr>
      <w:bookmarkStart w:id="0" w:name="_GoBack"/>
      <w:bookmarkEnd w:id="0"/>
      <w:r w:rsidRPr="00CA4291">
        <w:rPr>
          <w:rFonts w:ascii="Franklin Gothic Book" w:hAnsi="Franklin Gothic Book" w:cs="Arial"/>
        </w:rPr>
        <w:t>Offshore Technology Conference</w:t>
      </w:r>
    </w:p>
    <w:p w14:paraId="3454C42B" w14:textId="77777777" w:rsidR="00F21326" w:rsidRPr="00CA4291" w:rsidRDefault="00196CF2" w:rsidP="00534B2A">
      <w:pPr>
        <w:tabs>
          <w:tab w:val="right" w:pos="8973"/>
        </w:tabs>
        <w:spacing w:line="240" w:lineRule="auto"/>
        <w:rPr>
          <w:rFonts w:ascii="Franklin Gothic Book" w:hAnsi="Franklin Gothic Book" w:cs="Arial"/>
        </w:rPr>
      </w:pPr>
      <w:r>
        <w:rPr>
          <w:rFonts w:ascii="Franklin Gothic Book" w:hAnsi="Franklin Gothic Book" w:cs="Arial"/>
        </w:rPr>
        <w:t>April 30 – May 3, 2018</w:t>
      </w:r>
    </w:p>
    <w:p w14:paraId="32F66D67" w14:textId="77777777" w:rsidR="00F21326" w:rsidRPr="00CA4291" w:rsidRDefault="00F21326" w:rsidP="00534B2A">
      <w:pPr>
        <w:tabs>
          <w:tab w:val="right" w:pos="8973"/>
        </w:tabs>
        <w:spacing w:line="240" w:lineRule="auto"/>
        <w:rPr>
          <w:rFonts w:ascii="Franklin Gothic Book" w:hAnsi="Franklin Gothic Book" w:cs="Arial"/>
        </w:rPr>
      </w:pPr>
      <w:r w:rsidRPr="00CA4291">
        <w:rPr>
          <w:rFonts w:ascii="Franklin Gothic Book" w:hAnsi="Franklin Gothic Book" w:cs="Arial"/>
        </w:rPr>
        <w:t>Houston, Texas</w:t>
      </w:r>
    </w:p>
    <w:p w14:paraId="32CFE2B5" w14:textId="77777777" w:rsidR="00F21326" w:rsidRPr="00CA4291" w:rsidRDefault="00196CF2" w:rsidP="00534B2A">
      <w:pPr>
        <w:spacing w:line="240" w:lineRule="auto"/>
        <w:rPr>
          <w:rFonts w:ascii="Franklin Gothic Book" w:hAnsi="Franklin Gothic Book" w:cs="Arial"/>
        </w:rPr>
      </w:pPr>
      <w:r>
        <w:rPr>
          <w:rFonts w:ascii="Franklin Gothic Book" w:hAnsi="Franklin Gothic Book" w:cs="Arial"/>
        </w:rPr>
        <w:t>Stand No.: 3227</w:t>
      </w:r>
    </w:p>
    <w:p w14:paraId="6C390EDF" w14:textId="77777777" w:rsidR="00CB3BAF" w:rsidRPr="00534B2A" w:rsidRDefault="00AF4B80" w:rsidP="00534B2A">
      <w:pPr>
        <w:shd w:val="clear" w:color="auto" w:fill="FFFFFF"/>
        <w:spacing w:after="127" w:line="288" w:lineRule="atLeast"/>
        <w:jc w:val="right"/>
        <w:outlineLvl w:val="1"/>
        <w:rPr>
          <w:rFonts w:ascii="Franklin Gothic Book" w:eastAsia="Times New Roman" w:hAnsi="Franklin Gothic Book" w:cs="Arial"/>
          <w:b/>
        </w:rPr>
      </w:pPr>
      <w:r>
        <w:rPr>
          <w:rFonts w:ascii="Franklin Gothic Book" w:eastAsia="Times New Roman" w:hAnsi="Franklin Gothic Book" w:cs="Arial"/>
          <w:b/>
        </w:rPr>
        <w:t>April</w:t>
      </w:r>
      <w:r w:rsidR="00196CF2" w:rsidRPr="00534B2A">
        <w:rPr>
          <w:rFonts w:ascii="Franklin Gothic Book" w:eastAsia="Times New Roman" w:hAnsi="Franklin Gothic Book" w:cs="Arial"/>
          <w:b/>
        </w:rPr>
        <w:t xml:space="preserve"> 2018</w:t>
      </w:r>
    </w:p>
    <w:p w14:paraId="63FC6809" w14:textId="77777777" w:rsidR="00CB3BAF" w:rsidRDefault="00196CF2" w:rsidP="00534B2A">
      <w:pPr>
        <w:shd w:val="clear" w:color="auto" w:fill="FFFFFF"/>
        <w:spacing w:after="0" w:line="240" w:lineRule="auto"/>
        <w:jc w:val="center"/>
        <w:rPr>
          <w:rFonts w:ascii="Franklin Gothic Book" w:eastAsia="Times New Roman" w:hAnsi="Franklin Gothic Book" w:cs="Arial"/>
          <w:b/>
        </w:rPr>
      </w:pPr>
      <w:r w:rsidRPr="00196CF2">
        <w:rPr>
          <w:rFonts w:ascii="Franklin Gothic Book" w:eastAsia="Times New Roman" w:hAnsi="Franklin Gothic Book" w:cs="Arial"/>
          <w:b/>
        </w:rPr>
        <w:t xml:space="preserve">Trelleborg </w:t>
      </w:r>
      <w:r w:rsidR="00B177B6">
        <w:rPr>
          <w:rFonts w:ascii="Franklin Gothic Book" w:eastAsia="Times New Roman" w:hAnsi="Franklin Gothic Book" w:cs="Arial"/>
          <w:b/>
        </w:rPr>
        <w:t xml:space="preserve">is </w:t>
      </w:r>
      <w:r w:rsidR="0022634A">
        <w:rPr>
          <w:rFonts w:ascii="Franklin Gothic Book" w:eastAsia="Times New Roman" w:hAnsi="Franklin Gothic Book" w:cs="Arial"/>
          <w:b/>
        </w:rPr>
        <w:t xml:space="preserve">Committed </w:t>
      </w:r>
      <w:r w:rsidR="00B177B6">
        <w:rPr>
          <w:rFonts w:ascii="Franklin Gothic Book" w:eastAsia="Times New Roman" w:hAnsi="Franklin Gothic Book" w:cs="Arial"/>
          <w:b/>
        </w:rPr>
        <w:t xml:space="preserve">to </w:t>
      </w:r>
      <w:r w:rsidR="0022634A" w:rsidRPr="00BB09AE">
        <w:rPr>
          <w:rFonts w:ascii="Franklin Gothic Book" w:eastAsia="Times New Roman" w:hAnsi="Franklin Gothic Book" w:cs="Arial"/>
          <w:b/>
        </w:rPr>
        <w:t>Sharing</w:t>
      </w:r>
      <w:r w:rsidR="0022634A">
        <w:rPr>
          <w:rFonts w:ascii="Franklin Gothic Book" w:eastAsia="Times New Roman" w:hAnsi="Franklin Gothic Book" w:cs="Arial"/>
          <w:b/>
        </w:rPr>
        <w:t xml:space="preserve"> </w:t>
      </w:r>
      <w:r w:rsidR="0022634A" w:rsidRPr="00BB09AE">
        <w:rPr>
          <w:rFonts w:ascii="Franklin Gothic Book" w:eastAsia="Times New Roman" w:hAnsi="Franklin Gothic Book" w:cs="Arial"/>
          <w:b/>
        </w:rPr>
        <w:t xml:space="preserve">Knowledge </w:t>
      </w:r>
      <w:r w:rsidRPr="00196CF2">
        <w:rPr>
          <w:rFonts w:ascii="Franklin Gothic Book" w:eastAsia="Times New Roman" w:hAnsi="Franklin Gothic Book" w:cs="Arial"/>
          <w:b/>
        </w:rPr>
        <w:t>at OTC 2018</w:t>
      </w:r>
    </w:p>
    <w:p w14:paraId="6530182E" w14:textId="77777777" w:rsidR="00196CF2" w:rsidRPr="00CA4291" w:rsidRDefault="00196CF2" w:rsidP="00534B2A">
      <w:pPr>
        <w:shd w:val="clear" w:color="auto" w:fill="FFFFFF"/>
        <w:spacing w:after="0" w:line="240" w:lineRule="auto"/>
        <w:rPr>
          <w:rFonts w:ascii="Franklin Gothic Book" w:eastAsia="Times New Roman" w:hAnsi="Franklin Gothic Book" w:cs="Arial"/>
          <w:b/>
          <w:bCs/>
        </w:rPr>
      </w:pPr>
    </w:p>
    <w:p w14:paraId="011C80AB" w14:textId="6314FB37" w:rsidR="005A4536" w:rsidRDefault="00137E26" w:rsidP="005A4536">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 xml:space="preserve">Trelleborg is committed to sharing its knowledge with the industry and welcomes the opportunity to speak at industry events such </w:t>
      </w:r>
      <w:r w:rsidR="003751EF">
        <w:rPr>
          <w:rFonts w:ascii="Franklin Gothic Book" w:eastAsia="Times New Roman" w:hAnsi="Franklin Gothic Book" w:cs="Arial"/>
        </w:rPr>
        <w:t>as</w:t>
      </w:r>
      <w:r>
        <w:rPr>
          <w:rFonts w:ascii="Franklin Gothic Book" w:eastAsia="Times New Roman" w:hAnsi="Franklin Gothic Book" w:cs="Arial"/>
        </w:rPr>
        <w:t xml:space="preserve"> </w:t>
      </w:r>
      <w:r w:rsidR="005C6E70">
        <w:rPr>
          <w:rFonts w:ascii="Franklin Gothic Book" w:eastAsia="Times New Roman" w:hAnsi="Franklin Gothic Book" w:cs="Arial"/>
        </w:rPr>
        <w:t>the upcoming Offshore Technology Conference (</w:t>
      </w:r>
      <w:r>
        <w:rPr>
          <w:rFonts w:ascii="Franklin Gothic Book" w:eastAsia="Times New Roman" w:hAnsi="Franklin Gothic Book" w:cs="Arial"/>
        </w:rPr>
        <w:t>OTC</w:t>
      </w:r>
      <w:r w:rsidR="005C6E70">
        <w:rPr>
          <w:rFonts w:ascii="Franklin Gothic Book" w:eastAsia="Times New Roman" w:hAnsi="Franklin Gothic Book" w:cs="Arial"/>
        </w:rPr>
        <w:t>) in Houston, Texas</w:t>
      </w:r>
      <w:r w:rsidR="005A4536">
        <w:rPr>
          <w:rFonts w:ascii="Franklin Gothic Book" w:eastAsia="Times New Roman" w:hAnsi="Franklin Gothic Book" w:cs="Arial"/>
        </w:rPr>
        <w:t>,</w:t>
      </w:r>
      <w:r w:rsidR="005C6E70">
        <w:rPr>
          <w:rFonts w:ascii="Franklin Gothic Book" w:eastAsia="Times New Roman" w:hAnsi="Franklin Gothic Book" w:cs="Arial"/>
        </w:rPr>
        <w:t xml:space="preserve"> April 30 through May 3</w:t>
      </w:r>
      <w:r>
        <w:rPr>
          <w:rFonts w:ascii="Franklin Gothic Book" w:eastAsia="Times New Roman" w:hAnsi="Franklin Gothic Book" w:cs="Arial"/>
        </w:rPr>
        <w:t xml:space="preserve">. </w:t>
      </w:r>
      <w:r w:rsidR="005A4536">
        <w:rPr>
          <w:rFonts w:ascii="Franklin Gothic Book" w:eastAsia="Times New Roman" w:hAnsi="Franklin Gothic Book" w:cs="Arial"/>
        </w:rPr>
        <w:t xml:space="preserve">At this year’s conference, Trelleborg will present three technical papers covering topics including </w:t>
      </w:r>
      <w:r w:rsidR="00B177B6">
        <w:rPr>
          <w:rFonts w:ascii="Franklin Gothic Book" w:eastAsia="Times New Roman" w:hAnsi="Franklin Gothic Book" w:cs="Arial"/>
        </w:rPr>
        <w:t xml:space="preserve">Liquified Natural Gas (LNG) </w:t>
      </w:r>
      <w:r w:rsidR="005A4536">
        <w:rPr>
          <w:rFonts w:ascii="Franklin Gothic Book" w:eastAsia="Times New Roman" w:hAnsi="Franklin Gothic Book" w:cs="Arial"/>
        </w:rPr>
        <w:t>transfer,</w:t>
      </w:r>
      <w:r w:rsidR="005A4536" w:rsidRPr="005A4536">
        <w:t xml:space="preserve"> </w:t>
      </w:r>
      <w:r w:rsidR="005A4536">
        <w:rPr>
          <w:rFonts w:ascii="Franklin Gothic Book" w:eastAsia="Times New Roman" w:hAnsi="Franklin Gothic Book" w:cs="Arial"/>
        </w:rPr>
        <w:t>c</w:t>
      </w:r>
      <w:r w:rsidR="005A4536" w:rsidRPr="005A4536">
        <w:rPr>
          <w:rFonts w:ascii="Franklin Gothic Book" w:eastAsia="Times New Roman" w:hAnsi="Franklin Gothic Book" w:cs="Arial"/>
        </w:rPr>
        <w:t xml:space="preserve">omputational </w:t>
      </w:r>
      <w:r w:rsidR="005A4536">
        <w:rPr>
          <w:rFonts w:ascii="Franklin Gothic Book" w:eastAsia="Times New Roman" w:hAnsi="Franklin Gothic Book" w:cs="Arial"/>
        </w:rPr>
        <w:t>f</w:t>
      </w:r>
      <w:r w:rsidR="005A4536" w:rsidRPr="005A4536">
        <w:rPr>
          <w:rFonts w:ascii="Franklin Gothic Book" w:eastAsia="Times New Roman" w:hAnsi="Franklin Gothic Book" w:cs="Arial"/>
        </w:rPr>
        <w:t xml:space="preserve">luid </w:t>
      </w:r>
      <w:r w:rsidR="005A4536">
        <w:rPr>
          <w:rFonts w:ascii="Franklin Gothic Book" w:eastAsia="Times New Roman" w:hAnsi="Franklin Gothic Book" w:cs="Arial"/>
        </w:rPr>
        <w:t>d</w:t>
      </w:r>
      <w:r w:rsidR="005A4536" w:rsidRPr="005A4536">
        <w:rPr>
          <w:rFonts w:ascii="Franklin Gothic Book" w:eastAsia="Times New Roman" w:hAnsi="Franklin Gothic Book" w:cs="Arial"/>
        </w:rPr>
        <w:t>ynamics</w:t>
      </w:r>
      <w:r w:rsidR="005A4536">
        <w:rPr>
          <w:rFonts w:ascii="Franklin Gothic Book" w:eastAsia="Times New Roman" w:hAnsi="Franklin Gothic Book" w:cs="Arial"/>
        </w:rPr>
        <w:t xml:space="preserve"> and adjustable buoyancy. </w:t>
      </w:r>
    </w:p>
    <w:p w14:paraId="3D80DF70" w14:textId="0A566BE7" w:rsidR="005C6E70" w:rsidRDefault="00BB011E"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 xml:space="preserve">Collin Gaskill, </w:t>
      </w:r>
      <w:r w:rsidRPr="009236E5">
        <w:rPr>
          <w:rFonts w:ascii="Franklin Gothic Book" w:eastAsia="Times New Roman" w:hAnsi="Franklin Gothic Book" w:cs="Arial"/>
        </w:rPr>
        <w:t>Product Development Engineer</w:t>
      </w:r>
      <w:r>
        <w:rPr>
          <w:rFonts w:ascii="Franklin Gothic Book" w:eastAsia="Times New Roman" w:hAnsi="Franklin Gothic Book" w:cs="Arial"/>
        </w:rPr>
        <w:t xml:space="preserve"> with Trelleborg’s offshore operation</w:t>
      </w:r>
      <w:r w:rsidR="00B177B6">
        <w:rPr>
          <w:rFonts w:ascii="Franklin Gothic Book" w:eastAsia="Times New Roman" w:hAnsi="Franklin Gothic Book" w:cs="Arial"/>
        </w:rPr>
        <w:t>,</w:t>
      </w:r>
      <w:r>
        <w:rPr>
          <w:rFonts w:ascii="Franklin Gothic Book" w:eastAsia="Times New Roman" w:hAnsi="Franklin Gothic Book" w:cs="Arial"/>
        </w:rPr>
        <w:t xml:space="preserve"> </w:t>
      </w:r>
      <w:r w:rsidR="005C6E70" w:rsidRPr="005C6E70">
        <w:rPr>
          <w:rFonts w:ascii="Franklin Gothic Book" w:eastAsia="Times New Roman" w:hAnsi="Franklin Gothic Book" w:cs="Arial"/>
        </w:rPr>
        <w:t>states</w:t>
      </w:r>
      <w:r w:rsidR="00B177B6">
        <w:rPr>
          <w:rFonts w:ascii="Franklin Gothic Book" w:eastAsia="Times New Roman" w:hAnsi="Franklin Gothic Book" w:cs="Arial"/>
        </w:rPr>
        <w:t>:</w:t>
      </w:r>
      <w:r w:rsidR="00B177B6" w:rsidRPr="005C6E70">
        <w:rPr>
          <w:rFonts w:ascii="Franklin Gothic Book" w:eastAsia="Times New Roman" w:hAnsi="Franklin Gothic Book" w:cs="Arial"/>
        </w:rPr>
        <w:t xml:space="preserve"> </w:t>
      </w:r>
      <w:r w:rsidR="005C6E70" w:rsidRPr="005C6E70">
        <w:rPr>
          <w:rFonts w:ascii="Franklin Gothic Book" w:eastAsia="Times New Roman" w:hAnsi="Franklin Gothic Book" w:cs="Arial"/>
        </w:rPr>
        <w:t>“</w:t>
      </w:r>
      <w:r w:rsidR="00B177B6">
        <w:rPr>
          <w:rFonts w:ascii="Franklin Gothic Book" w:eastAsia="Times New Roman" w:hAnsi="Franklin Gothic Book" w:cs="Arial"/>
        </w:rPr>
        <w:t>We feel that s</w:t>
      </w:r>
      <w:r w:rsidR="003751EF">
        <w:rPr>
          <w:rFonts w:ascii="Franklin Gothic Book" w:eastAsia="Times New Roman" w:hAnsi="Franklin Gothic Book" w:cs="Arial"/>
        </w:rPr>
        <w:t xml:space="preserve">haring </w:t>
      </w:r>
      <w:r w:rsidR="005C6E70" w:rsidRPr="005C6E70">
        <w:rPr>
          <w:rFonts w:ascii="Franklin Gothic Book" w:eastAsia="Times New Roman" w:hAnsi="Franklin Gothic Book" w:cs="Arial"/>
        </w:rPr>
        <w:t xml:space="preserve">our polymer </w:t>
      </w:r>
      <w:r w:rsidR="00B177B6">
        <w:rPr>
          <w:rFonts w:ascii="Franklin Gothic Book" w:eastAsia="Times New Roman" w:hAnsi="Franklin Gothic Book" w:cs="Arial"/>
        </w:rPr>
        <w:t>innovation</w:t>
      </w:r>
      <w:r w:rsidR="005C6E70" w:rsidRPr="005C6E70">
        <w:rPr>
          <w:rFonts w:ascii="Franklin Gothic Book" w:eastAsia="Times New Roman" w:hAnsi="Franklin Gothic Book" w:cs="Arial"/>
        </w:rPr>
        <w:t xml:space="preserve"> </w:t>
      </w:r>
      <w:r w:rsidR="00B177B6">
        <w:rPr>
          <w:rFonts w:ascii="Franklin Gothic Book" w:eastAsia="Times New Roman" w:hAnsi="Franklin Gothic Book" w:cs="Arial"/>
        </w:rPr>
        <w:t xml:space="preserve">could be </w:t>
      </w:r>
      <w:r w:rsidR="003751EF">
        <w:rPr>
          <w:rFonts w:ascii="Franklin Gothic Book" w:eastAsia="Times New Roman" w:hAnsi="Franklin Gothic Book" w:cs="Arial"/>
        </w:rPr>
        <w:t xml:space="preserve">vital </w:t>
      </w:r>
      <w:r w:rsidR="001C58F2">
        <w:rPr>
          <w:rFonts w:ascii="Franklin Gothic Book" w:eastAsia="Times New Roman" w:hAnsi="Franklin Gothic Book" w:cs="Arial"/>
        </w:rPr>
        <w:t xml:space="preserve">for the </w:t>
      </w:r>
      <w:r w:rsidR="00B177B6">
        <w:rPr>
          <w:rFonts w:ascii="Franklin Gothic Book" w:eastAsia="Times New Roman" w:hAnsi="Franklin Gothic Book" w:cs="Arial"/>
        </w:rPr>
        <w:t>development of key applications in the future</w:t>
      </w:r>
      <w:r w:rsidR="005C6E70">
        <w:rPr>
          <w:rFonts w:ascii="Franklin Gothic Book" w:eastAsia="Times New Roman" w:hAnsi="Franklin Gothic Book" w:cs="Arial"/>
        </w:rPr>
        <w:t>. T</w:t>
      </w:r>
      <w:r w:rsidR="001C58F2">
        <w:rPr>
          <w:rFonts w:ascii="Franklin Gothic Book" w:eastAsia="Times New Roman" w:hAnsi="Franklin Gothic Book" w:cs="Arial"/>
        </w:rPr>
        <w:t xml:space="preserve">he discussions and presentations </w:t>
      </w:r>
      <w:r w:rsidR="005C6E70">
        <w:rPr>
          <w:rFonts w:ascii="Franklin Gothic Book" w:eastAsia="Times New Roman" w:hAnsi="Franklin Gothic Book" w:cs="Arial"/>
        </w:rPr>
        <w:t xml:space="preserve">at conferences such as OTC </w:t>
      </w:r>
      <w:r w:rsidR="001C58F2">
        <w:rPr>
          <w:rFonts w:ascii="Franklin Gothic Book" w:eastAsia="Times New Roman" w:hAnsi="Franklin Gothic Book" w:cs="Arial"/>
        </w:rPr>
        <w:t>allow the industry and its community to</w:t>
      </w:r>
      <w:r w:rsidR="003751EF">
        <w:rPr>
          <w:rFonts w:ascii="Franklin Gothic Book" w:eastAsia="Times New Roman" w:hAnsi="Franklin Gothic Book" w:cs="Arial"/>
        </w:rPr>
        <w:t xml:space="preserve"> </w:t>
      </w:r>
      <w:r w:rsidR="001C58F2" w:rsidRPr="001C58F2">
        <w:rPr>
          <w:rFonts w:ascii="Franklin Gothic Book" w:eastAsia="Times New Roman" w:hAnsi="Franklin Gothic Book" w:cs="Arial"/>
        </w:rPr>
        <w:t xml:space="preserve">learn from </w:t>
      </w:r>
      <w:r w:rsidR="00B177B6">
        <w:rPr>
          <w:rFonts w:ascii="Franklin Gothic Book" w:eastAsia="Times New Roman" w:hAnsi="Franklin Gothic Book" w:cs="Arial"/>
        </w:rPr>
        <w:t>experiences</w:t>
      </w:r>
      <w:r w:rsidR="00B177B6" w:rsidRPr="001C58F2">
        <w:rPr>
          <w:rFonts w:ascii="Franklin Gothic Book" w:eastAsia="Times New Roman" w:hAnsi="Franklin Gothic Book" w:cs="Arial"/>
        </w:rPr>
        <w:t xml:space="preserve"> </w:t>
      </w:r>
      <w:r w:rsidR="001C58F2" w:rsidRPr="001C58F2">
        <w:rPr>
          <w:rFonts w:ascii="Franklin Gothic Book" w:eastAsia="Times New Roman" w:hAnsi="Franklin Gothic Book" w:cs="Arial"/>
        </w:rPr>
        <w:t>and build on successes</w:t>
      </w:r>
      <w:r w:rsidR="005C6E70">
        <w:rPr>
          <w:rFonts w:ascii="Franklin Gothic Book" w:eastAsia="Times New Roman" w:hAnsi="Franklin Gothic Book" w:cs="Arial"/>
        </w:rPr>
        <w:t xml:space="preserve"> that will push the sector to the next level</w:t>
      </w:r>
      <w:r w:rsidR="001C58F2">
        <w:rPr>
          <w:rFonts w:ascii="Franklin Gothic Book" w:eastAsia="Times New Roman" w:hAnsi="Franklin Gothic Book" w:cs="Arial"/>
        </w:rPr>
        <w:t>.</w:t>
      </w:r>
      <w:r w:rsidR="005C6E70">
        <w:rPr>
          <w:rFonts w:ascii="Franklin Gothic Book" w:eastAsia="Times New Roman" w:hAnsi="Franklin Gothic Book" w:cs="Arial"/>
        </w:rPr>
        <w:t>”</w:t>
      </w:r>
    </w:p>
    <w:p w14:paraId="140891D3" w14:textId="77777777" w:rsidR="00137E26" w:rsidRDefault="00137E26"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 xml:space="preserve">Vincent </w:t>
      </w:r>
      <w:r w:rsidR="00121F58">
        <w:rPr>
          <w:rFonts w:ascii="Franklin Gothic Book" w:eastAsia="Times New Roman" w:hAnsi="Franklin Gothic Book" w:cs="Arial"/>
        </w:rPr>
        <w:t>Lagarrigue</w:t>
      </w:r>
      <w:r w:rsidR="00BB011E">
        <w:rPr>
          <w:rFonts w:ascii="Franklin Gothic Book" w:eastAsia="Times New Roman" w:hAnsi="Franklin Gothic Book" w:cs="Arial"/>
        </w:rPr>
        <w:t xml:space="preserve">, </w:t>
      </w:r>
      <w:r w:rsidR="00BB011E" w:rsidRPr="008D2778">
        <w:rPr>
          <w:rFonts w:ascii="Franklin Gothic Book" w:eastAsia="Times New Roman" w:hAnsi="Franklin Gothic Book" w:cs="Arial"/>
        </w:rPr>
        <w:t>Director</w:t>
      </w:r>
      <w:r w:rsidR="00BB011E">
        <w:rPr>
          <w:rFonts w:ascii="Franklin Gothic Book" w:eastAsia="Times New Roman" w:hAnsi="Franklin Gothic Book" w:cs="Arial"/>
        </w:rPr>
        <w:t xml:space="preserve"> of Trelleborg’s o</w:t>
      </w:r>
      <w:r w:rsidR="00BB011E" w:rsidRPr="008D2778">
        <w:rPr>
          <w:rFonts w:ascii="Franklin Gothic Book" w:eastAsia="Times New Roman" w:hAnsi="Franklin Gothic Book" w:cs="Arial"/>
        </w:rPr>
        <w:t xml:space="preserve">il &amp; </w:t>
      </w:r>
      <w:r w:rsidR="00BB011E">
        <w:rPr>
          <w:rFonts w:ascii="Franklin Gothic Book" w:eastAsia="Times New Roman" w:hAnsi="Franklin Gothic Book" w:cs="Arial"/>
        </w:rPr>
        <w:t>m</w:t>
      </w:r>
      <w:r w:rsidR="00BB011E" w:rsidRPr="008D2778">
        <w:rPr>
          <w:rFonts w:ascii="Franklin Gothic Book" w:eastAsia="Times New Roman" w:hAnsi="Franklin Gothic Book" w:cs="Arial"/>
        </w:rPr>
        <w:t xml:space="preserve">arine </w:t>
      </w:r>
      <w:r w:rsidR="00BB011E">
        <w:rPr>
          <w:rFonts w:ascii="Franklin Gothic Book" w:eastAsia="Times New Roman" w:hAnsi="Franklin Gothic Book" w:cs="Arial"/>
        </w:rPr>
        <w:t>h</w:t>
      </w:r>
      <w:r w:rsidR="00BB011E" w:rsidRPr="008D2778">
        <w:rPr>
          <w:rFonts w:ascii="Franklin Gothic Book" w:eastAsia="Times New Roman" w:hAnsi="Franklin Gothic Book" w:cs="Arial"/>
        </w:rPr>
        <w:t>oses</w:t>
      </w:r>
      <w:r w:rsidR="00BB011E">
        <w:rPr>
          <w:rFonts w:ascii="Franklin Gothic Book" w:eastAsia="Times New Roman" w:hAnsi="Franklin Gothic Book" w:cs="Arial"/>
        </w:rPr>
        <w:t xml:space="preserve"> operations </w:t>
      </w:r>
      <w:r>
        <w:rPr>
          <w:rFonts w:ascii="Franklin Gothic Book" w:eastAsia="Times New Roman" w:hAnsi="Franklin Gothic Book" w:cs="Arial"/>
        </w:rPr>
        <w:t>will present a technical paper titled “Re-Shaping LNG Transfer” on Monday April 30 at 14</w:t>
      </w:r>
      <w:r w:rsidR="00121F58">
        <w:rPr>
          <w:rFonts w:ascii="Franklin Gothic Book" w:eastAsia="Times New Roman" w:hAnsi="Franklin Gothic Book" w:cs="Arial"/>
        </w:rPr>
        <w:t>:</w:t>
      </w:r>
      <w:r>
        <w:rPr>
          <w:rFonts w:ascii="Franklin Gothic Book" w:eastAsia="Times New Roman" w:hAnsi="Franklin Gothic Book" w:cs="Arial"/>
        </w:rPr>
        <w:t>00 in room 602 as part of the session on FLNG and Gas Monetiz</w:t>
      </w:r>
      <w:r w:rsidRPr="008E007C">
        <w:rPr>
          <w:rFonts w:ascii="Franklin Gothic Book" w:eastAsia="Times New Roman" w:hAnsi="Franklin Gothic Book" w:cs="Arial"/>
        </w:rPr>
        <w:t>ation</w:t>
      </w:r>
      <w:r>
        <w:rPr>
          <w:rFonts w:ascii="Franklin Gothic Book" w:eastAsia="Times New Roman" w:hAnsi="Franklin Gothic Book" w:cs="Arial"/>
        </w:rPr>
        <w:t xml:space="preserve"> -</w:t>
      </w:r>
      <w:r w:rsidRPr="008E007C">
        <w:rPr>
          <w:rFonts w:ascii="Franklin Gothic Book" w:eastAsia="Times New Roman" w:hAnsi="Franklin Gothic Book" w:cs="Arial"/>
        </w:rPr>
        <w:t xml:space="preserve"> Innovative Processing and Design</w:t>
      </w:r>
      <w:r>
        <w:rPr>
          <w:rFonts w:ascii="Franklin Gothic Book" w:eastAsia="Times New Roman" w:hAnsi="Franklin Gothic Book" w:cs="Arial"/>
        </w:rPr>
        <w:t>.</w:t>
      </w:r>
    </w:p>
    <w:p w14:paraId="27CF0B31" w14:textId="77777777" w:rsidR="00137E26" w:rsidRDefault="00137E26"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 xml:space="preserve">Collin will present </w:t>
      </w:r>
      <w:r w:rsidR="009236E5">
        <w:rPr>
          <w:rFonts w:ascii="Franklin Gothic Book" w:eastAsia="Times New Roman" w:hAnsi="Franklin Gothic Book" w:cs="Arial"/>
        </w:rPr>
        <w:t>two</w:t>
      </w:r>
      <w:r>
        <w:rPr>
          <w:rFonts w:ascii="Franklin Gothic Book" w:eastAsia="Times New Roman" w:hAnsi="Franklin Gothic Book" w:cs="Arial"/>
        </w:rPr>
        <w:t xml:space="preserve"> technical paper</w:t>
      </w:r>
      <w:r w:rsidR="009236E5">
        <w:rPr>
          <w:rFonts w:ascii="Franklin Gothic Book" w:eastAsia="Times New Roman" w:hAnsi="Franklin Gothic Book" w:cs="Arial"/>
        </w:rPr>
        <w:t>s at the conference. The first</w:t>
      </w:r>
      <w:r>
        <w:rPr>
          <w:rFonts w:ascii="Franklin Gothic Book" w:eastAsia="Times New Roman" w:hAnsi="Franklin Gothic Book" w:cs="Arial"/>
        </w:rPr>
        <w:t xml:space="preserve"> </w:t>
      </w:r>
      <w:r w:rsidR="009236E5">
        <w:rPr>
          <w:rFonts w:ascii="Franklin Gothic Book" w:eastAsia="Times New Roman" w:hAnsi="Franklin Gothic Book" w:cs="Arial"/>
        </w:rPr>
        <w:t xml:space="preserve">is </w:t>
      </w:r>
      <w:r>
        <w:rPr>
          <w:rFonts w:ascii="Franklin Gothic Book" w:eastAsia="Times New Roman" w:hAnsi="Franklin Gothic Book" w:cs="Arial"/>
        </w:rPr>
        <w:t xml:space="preserve">titled “VIV-Mitigating Buoyancy Module Performance Characterization Using Computational Fluid Dynamics” on Wednesday, May 2 </w:t>
      </w:r>
      <w:r w:rsidR="009236E5">
        <w:rPr>
          <w:rFonts w:ascii="Franklin Gothic Book" w:eastAsia="Times New Roman" w:hAnsi="Franklin Gothic Book" w:cs="Arial"/>
        </w:rPr>
        <w:t>at 09</w:t>
      </w:r>
      <w:r w:rsidR="00121F58">
        <w:rPr>
          <w:rFonts w:ascii="Franklin Gothic Book" w:eastAsia="Times New Roman" w:hAnsi="Franklin Gothic Book" w:cs="Arial"/>
        </w:rPr>
        <w:t>:</w:t>
      </w:r>
      <w:r w:rsidR="009236E5">
        <w:rPr>
          <w:rFonts w:ascii="Franklin Gothic Book" w:eastAsia="Times New Roman" w:hAnsi="Franklin Gothic Book" w:cs="Arial"/>
        </w:rPr>
        <w:t xml:space="preserve">30 </w:t>
      </w:r>
      <w:r>
        <w:rPr>
          <w:rFonts w:ascii="Franklin Gothic Book" w:eastAsia="Times New Roman" w:hAnsi="Franklin Gothic Book" w:cs="Arial"/>
        </w:rPr>
        <w:t>in room 600</w:t>
      </w:r>
      <w:r w:rsidR="009236E5">
        <w:rPr>
          <w:rFonts w:ascii="Franklin Gothic Book" w:eastAsia="Times New Roman" w:hAnsi="Franklin Gothic Book" w:cs="Arial"/>
        </w:rPr>
        <w:t xml:space="preserve"> as part of the session on</w:t>
      </w:r>
      <w:r w:rsidR="009236E5" w:rsidRPr="009236E5">
        <w:t xml:space="preserve"> </w:t>
      </w:r>
      <w:r w:rsidR="009236E5" w:rsidRPr="009236E5">
        <w:rPr>
          <w:rFonts w:ascii="Franklin Gothic Book" w:eastAsia="Times New Roman" w:hAnsi="Franklin Gothic Book" w:cs="Arial"/>
        </w:rPr>
        <w:t>Applications of Computational Fluid Dynamics in Offshore Engineering</w:t>
      </w:r>
      <w:r>
        <w:rPr>
          <w:rFonts w:ascii="Franklin Gothic Book" w:eastAsia="Times New Roman" w:hAnsi="Franklin Gothic Book" w:cs="Arial"/>
        </w:rPr>
        <w:t>.</w:t>
      </w:r>
    </w:p>
    <w:p w14:paraId="4CED31D7" w14:textId="77777777" w:rsidR="009236E5" w:rsidRDefault="009236E5" w:rsidP="00FB39EB">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The second technical paper is titled “</w:t>
      </w:r>
      <w:r w:rsidRPr="009236E5">
        <w:rPr>
          <w:rFonts w:ascii="Franklin Gothic Book" w:eastAsia="Times New Roman" w:hAnsi="Franklin Gothic Book" w:cs="Arial"/>
        </w:rPr>
        <w:t>Technology Qualification of Deepwater Transport Shuttle Adjustable Buoyancy System</w:t>
      </w:r>
      <w:r>
        <w:rPr>
          <w:rFonts w:ascii="Franklin Gothic Book" w:eastAsia="Times New Roman" w:hAnsi="Franklin Gothic Book" w:cs="Arial"/>
        </w:rPr>
        <w:t>” which Collin will present on Wednesday, May 2 at 14</w:t>
      </w:r>
      <w:r w:rsidR="00EE35F8">
        <w:rPr>
          <w:rFonts w:ascii="Franklin Gothic Book" w:eastAsia="Times New Roman" w:hAnsi="Franklin Gothic Book" w:cs="Arial"/>
        </w:rPr>
        <w:t>:</w:t>
      </w:r>
      <w:r>
        <w:rPr>
          <w:rFonts w:ascii="Franklin Gothic Book" w:eastAsia="Times New Roman" w:hAnsi="Franklin Gothic Book" w:cs="Arial"/>
        </w:rPr>
        <w:t xml:space="preserve">00 in room 600 as part </w:t>
      </w:r>
      <w:r w:rsidR="00121F58">
        <w:rPr>
          <w:rFonts w:ascii="Franklin Gothic Book" w:eastAsia="Times New Roman" w:hAnsi="Franklin Gothic Book" w:cs="Arial"/>
        </w:rPr>
        <w:t>o</w:t>
      </w:r>
      <w:r>
        <w:rPr>
          <w:rFonts w:ascii="Franklin Gothic Book" w:eastAsia="Times New Roman" w:hAnsi="Franklin Gothic Book" w:cs="Arial"/>
        </w:rPr>
        <w:t xml:space="preserve">f the session on </w:t>
      </w:r>
      <w:proofErr w:type="spellStart"/>
      <w:r w:rsidRPr="009236E5">
        <w:rPr>
          <w:rFonts w:ascii="Franklin Gothic Book" w:eastAsia="Times New Roman" w:hAnsi="Franklin Gothic Book" w:cs="Arial"/>
        </w:rPr>
        <w:t>Metocean</w:t>
      </w:r>
      <w:proofErr w:type="spellEnd"/>
      <w:r w:rsidRPr="009236E5">
        <w:rPr>
          <w:rFonts w:ascii="Franklin Gothic Book" w:eastAsia="Times New Roman" w:hAnsi="Franklin Gothic Book" w:cs="Arial"/>
        </w:rPr>
        <w:t xml:space="preserve"> Advances</w:t>
      </w:r>
      <w:r>
        <w:rPr>
          <w:rFonts w:ascii="Franklin Gothic Book" w:eastAsia="Times New Roman" w:hAnsi="Franklin Gothic Book" w:cs="Arial"/>
        </w:rPr>
        <w:t>.</w:t>
      </w:r>
    </w:p>
    <w:p w14:paraId="429DD32E" w14:textId="77777777" w:rsidR="00FB39EB" w:rsidRDefault="00FB39EB" w:rsidP="00FB39EB">
      <w:pPr>
        <w:shd w:val="clear" w:color="auto" w:fill="FFFFFF"/>
        <w:spacing w:line="360" w:lineRule="auto"/>
        <w:jc w:val="both"/>
        <w:rPr>
          <w:rFonts w:ascii="Franklin Gothic Book" w:eastAsia="Times New Roman" w:hAnsi="Franklin Gothic Book" w:cs="Arial"/>
          <w:b/>
        </w:rPr>
      </w:pPr>
      <w:r>
        <w:rPr>
          <w:rFonts w:ascii="Franklin Gothic Book" w:eastAsia="Times New Roman" w:hAnsi="Franklin Gothic Book" w:cs="Arial"/>
          <w:b/>
        </w:rPr>
        <w:t>OTC Houston 2017</w:t>
      </w:r>
    </w:p>
    <w:p w14:paraId="3BBB6FE4" w14:textId="77777777" w:rsidR="00CB3BAF" w:rsidRPr="00CA4291" w:rsidRDefault="00CB3BAF" w:rsidP="00FB39EB">
      <w:pPr>
        <w:shd w:val="clear" w:color="auto" w:fill="FFFFFF"/>
        <w:spacing w:line="360" w:lineRule="auto"/>
        <w:jc w:val="both"/>
        <w:rPr>
          <w:rFonts w:ascii="Franklin Gothic Book" w:eastAsia="Times New Roman" w:hAnsi="Franklin Gothic Book" w:cs="Arial"/>
        </w:rPr>
      </w:pPr>
      <w:r w:rsidRPr="00CA4291">
        <w:rPr>
          <w:rFonts w:ascii="Franklin Gothic Book" w:eastAsia="Times New Roman" w:hAnsi="Franklin Gothic Book" w:cs="Arial"/>
        </w:rPr>
        <w:t>Trelleborg will exhibit its range of innovative offshore solutions at OTC Houston 201</w:t>
      </w:r>
      <w:r w:rsidR="004D57D5">
        <w:rPr>
          <w:rFonts w:ascii="Franklin Gothic Book" w:eastAsia="Times New Roman" w:hAnsi="Franklin Gothic Book" w:cs="Arial"/>
        </w:rPr>
        <w:t>8</w:t>
      </w:r>
      <w:r w:rsidRPr="00CA4291">
        <w:rPr>
          <w:rFonts w:ascii="Franklin Gothic Book" w:eastAsia="Times New Roman" w:hAnsi="Franklin Gothic Book" w:cs="Arial"/>
        </w:rPr>
        <w:t xml:space="preserve"> in hall </w:t>
      </w:r>
      <w:r w:rsidR="004D57D5">
        <w:rPr>
          <w:rFonts w:ascii="Franklin Gothic Book" w:eastAsia="Times New Roman" w:hAnsi="Franklin Gothic Book" w:cs="Arial"/>
        </w:rPr>
        <w:t>C</w:t>
      </w:r>
      <w:r w:rsidRPr="00CA4291">
        <w:rPr>
          <w:rFonts w:ascii="Franklin Gothic Book" w:eastAsia="Times New Roman" w:hAnsi="Franklin Gothic Book" w:cs="Arial"/>
        </w:rPr>
        <w:t xml:space="preserve"> </w:t>
      </w:r>
      <w:r w:rsidR="00F21326" w:rsidRPr="00CA4291">
        <w:rPr>
          <w:rFonts w:ascii="Franklin Gothic Book" w:eastAsia="Times New Roman" w:hAnsi="Franklin Gothic Book" w:cs="Arial"/>
        </w:rPr>
        <w:t>on</w:t>
      </w:r>
      <w:r w:rsidR="004D57D5">
        <w:rPr>
          <w:rFonts w:ascii="Franklin Gothic Book" w:eastAsia="Times New Roman" w:hAnsi="Franklin Gothic Book" w:cs="Arial"/>
        </w:rPr>
        <w:t xml:space="preserve"> stand 3227</w:t>
      </w:r>
      <w:r w:rsidRPr="00CA4291">
        <w:rPr>
          <w:rFonts w:ascii="Franklin Gothic Book" w:eastAsia="Times New Roman" w:hAnsi="Franklin Gothic Book" w:cs="Arial"/>
        </w:rPr>
        <w:t>. Products are designed with quality, performance and efficiency front of mind and include high performance</w:t>
      </w:r>
      <w:r w:rsidR="00F21326" w:rsidRPr="00CA4291">
        <w:rPr>
          <w:rFonts w:ascii="Franklin Gothic Book" w:eastAsia="Times New Roman" w:hAnsi="Franklin Gothic Book" w:cs="Arial"/>
        </w:rPr>
        <w:t xml:space="preserve"> buoyancy</w:t>
      </w:r>
      <w:r w:rsidRPr="00CA4291">
        <w:rPr>
          <w:rFonts w:ascii="Franklin Gothic Book" w:eastAsia="Times New Roman" w:hAnsi="Franklin Gothic Book" w:cs="Arial"/>
        </w:rPr>
        <w:t xml:space="preserve">, insulation, </w:t>
      </w:r>
      <w:r w:rsidR="00F21326" w:rsidRPr="00CA4291">
        <w:rPr>
          <w:rFonts w:ascii="Franklin Gothic Book" w:eastAsia="Times New Roman" w:hAnsi="Franklin Gothic Book" w:cs="Arial"/>
        </w:rPr>
        <w:t>passive fire protection</w:t>
      </w:r>
      <w:r w:rsidRPr="00CA4291">
        <w:rPr>
          <w:rFonts w:ascii="Franklin Gothic Book" w:eastAsia="Times New Roman" w:hAnsi="Franklin Gothic Book" w:cs="Arial"/>
        </w:rPr>
        <w:t xml:space="preserve">, </w:t>
      </w:r>
      <w:r w:rsidR="00542C9A" w:rsidRPr="00CA4291">
        <w:rPr>
          <w:rFonts w:ascii="Franklin Gothic Book" w:eastAsia="Times New Roman" w:hAnsi="Franklin Gothic Book" w:cs="Arial"/>
        </w:rPr>
        <w:t>sealing solutions</w:t>
      </w:r>
      <w:r w:rsidR="00121F58">
        <w:rPr>
          <w:rFonts w:ascii="Franklin Gothic Book" w:eastAsia="Times New Roman" w:hAnsi="Franklin Gothic Book" w:cs="Arial"/>
        </w:rPr>
        <w:t xml:space="preserve"> and hoses</w:t>
      </w:r>
      <w:r w:rsidRPr="00CA4291">
        <w:rPr>
          <w:rFonts w:ascii="Franklin Gothic Book" w:eastAsia="Times New Roman" w:hAnsi="Franklin Gothic Book" w:cs="Arial"/>
        </w:rPr>
        <w:t>. </w:t>
      </w:r>
    </w:p>
    <w:p w14:paraId="20C0520D" w14:textId="77777777" w:rsidR="00824711" w:rsidRPr="006F5952" w:rsidRDefault="00824711" w:rsidP="00534B2A">
      <w:pPr>
        <w:spacing w:after="120" w:line="360" w:lineRule="auto"/>
        <w:jc w:val="center"/>
        <w:rPr>
          <w:rFonts w:ascii="Franklin Gothic Book" w:hAnsi="Franklin Gothic Book" w:cs="Arial"/>
          <w:b/>
          <w:sz w:val="24"/>
          <w:szCs w:val="24"/>
        </w:rPr>
      </w:pPr>
      <w:r w:rsidRPr="006F5952">
        <w:rPr>
          <w:rFonts w:ascii="Franklin Gothic Book" w:hAnsi="Franklin Gothic Book" w:cs="Arial"/>
          <w:b/>
          <w:sz w:val="24"/>
          <w:szCs w:val="24"/>
        </w:rPr>
        <w:lastRenderedPageBreak/>
        <w:t>~ENDS~</w:t>
      </w:r>
    </w:p>
    <w:p w14:paraId="0D18767F" w14:textId="77777777" w:rsidR="00824711" w:rsidRPr="006F5952" w:rsidRDefault="00824711" w:rsidP="00534B2A">
      <w:pPr>
        <w:spacing w:after="120" w:line="360" w:lineRule="auto"/>
        <w:ind w:left="-144"/>
        <w:rPr>
          <w:rFonts w:ascii="Franklin Gothic Book" w:hAnsi="Franklin Gothic Book" w:cs="Arial"/>
          <w:bCs/>
          <w:sz w:val="20"/>
          <w:szCs w:val="20"/>
        </w:rPr>
      </w:pPr>
      <w:r w:rsidRPr="006F5952">
        <w:rPr>
          <w:rFonts w:ascii="Franklin Gothic Book" w:hAnsi="Franklin Gothic Book" w:cs="Arial"/>
          <w:b/>
          <w:sz w:val="20"/>
          <w:szCs w:val="20"/>
        </w:rPr>
        <w:t>For press information:</w:t>
      </w:r>
      <w:r w:rsidRPr="006F5952">
        <w:rPr>
          <w:rFonts w:ascii="Franklin Gothic Book" w:hAnsi="Franklin Gothic Book" w:cs="Arial"/>
          <w:sz w:val="20"/>
          <w:szCs w:val="20"/>
        </w:rPr>
        <w:t xml:space="preserve">  </w:t>
      </w:r>
    </w:p>
    <w:p w14:paraId="7E869B55" w14:textId="77777777" w:rsidR="00F21326" w:rsidRDefault="00F21326" w:rsidP="00534B2A">
      <w:pPr>
        <w:autoSpaceDE w:val="0"/>
        <w:autoSpaceDN w:val="0"/>
        <w:adjustRightInd w:val="0"/>
        <w:spacing w:after="120" w:line="360" w:lineRule="auto"/>
        <w:ind w:left="-142"/>
        <w:rPr>
          <w:rStyle w:val="Hyperlink"/>
          <w:rFonts w:ascii="Franklin Gothic Book" w:hAnsi="Franklin Gothic Book" w:cs="Arial"/>
          <w:iCs/>
          <w:color w:val="auto"/>
          <w:sz w:val="20"/>
          <w:szCs w:val="20"/>
        </w:rPr>
      </w:pPr>
      <w:r w:rsidRPr="006F5952">
        <w:rPr>
          <w:rFonts w:ascii="Franklin Gothic Book" w:hAnsi="Franklin Gothic Book" w:cs="Arial"/>
          <w:iCs/>
          <w:sz w:val="20"/>
          <w:szCs w:val="20"/>
        </w:rPr>
        <w:t>For general press information, please contact Dawn Fontaine with Ripple Effect Communications, Mobile: +1</w:t>
      </w:r>
      <w:r w:rsidR="006F5952">
        <w:rPr>
          <w:rFonts w:ascii="Franklin Gothic Book" w:hAnsi="Franklin Gothic Book" w:cs="Arial"/>
          <w:iCs/>
          <w:sz w:val="20"/>
          <w:szCs w:val="20"/>
        </w:rPr>
        <w:t xml:space="preserve"> </w:t>
      </w:r>
      <w:r w:rsidRPr="006F5952">
        <w:rPr>
          <w:rFonts w:ascii="Franklin Gothic Book" w:hAnsi="Franklin Gothic Book" w:cs="Arial"/>
          <w:iCs/>
          <w:sz w:val="20"/>
          <w:szCs w:val="20"/>
        </w:rPr>
        <w:t xml:space="preserve">508 353 3777; </w:t>
      </w:r>
      <w:hyperlink r:id="rId10" w:history="1">
        <w:r w:rsidRPr="006F5952">
          <w:rPr>
            <w:rStyle w:val="Hyperlink"/>
            <w:rFonts w:ascii="Franklin Gothic Book" w:hAnsi="Franklin Gothic Book" w:cs="Arial"/>
            <w:iCs/>
            <w:color w:val="auto"/>
            <w:sz w:val="20"/>
            <w:szCs w:val="20"/>
          </w:rPr>
          <w:t>dawn@rippleeffectpr.com</w:t>
        </w:r>
      </w:hyperlink>
      <w:r w:rsidR="00CA4291">
        <w:rPr>
          <w:rStyle w:val="Hyperlink"/>
          <w:rFonts w:ascii="Franklin Gothic Book" w:hAnsi="Franklin Gothic Book" w:cs="Arial"/>
          <w:iCs/>
          <w:color w:val="auto"/>
          <w:sz w:val="20"/>
          <w:szCs w:val="20"/>
        </w:rPr>
        <w:t>.</w:t>
      </w:r>
    </w:p>
    <w:p w14:paraId="0D020ABC" w14:textId="77777777" w:rsidR="00AB417F" w:rsidRPr="006F5952" w:rsidRDefault="00AB417F" w:rsidP="00AB417F">
      <w:pPr>
        <w:autoSpaceDE w:val="0"/>
        <w:autoSpaceDN w:val="0"/>
        <w:adjustRightInd w:val="0"/>
        <w:spacing w:after="120" w:line="360" w:lineRule="auto"/>
        <w:ind w:left="-142"/>
        <w:rPr>
          <w:rFonts w:ascii="Franklin Gothic Book" w:hAnsi="Franklin Gothic Book" w:cs="Arial"/>
          <w:sz w:val="20"/>
          <w:szCs w:val="20"/>
        </w:rPr>
      </w:pPr>
      <w:r w:rsidRPr="006F5952">
        <w:rPr>
          <w:rFonts w:ascii="Franklin Gothic Book" w:hAnsi="Franklin Gothic Book" w:cs="Arial"/>
          <w:iCs/>
          <w:sz w:val="20"/>
          <w:szCs w:val="20"/>
        </w:rPr>
        <w:t xml:space="preserve">For additional information on Trelleborg’s offshore operation, please contact Ruth Clay, </w:t>
      </w:r>
      <w:r w:rsidRPr="006F5952">
        <w:rPr>
          <w:rFonts w:ascii="Franklin Gothic Book" w:hAnsi="Franklin Gothic Book" w:cs="Arial"/>
          <w:sz w:val="20"/>
          <w:szCs w:val="20"/>
        </w:rPr>
        <w:t xml:space="preserve">Mobile: +1 281 740 5755; </w:t>
      </w:r>
      <w:hyperlink r:id="rId11" w:history="1">
        <w:r w:rsidRPr="006F5952">
          <w:rPr>
            <w:rStyle w:val="Hyperlink"/>
            <w:rFonts w:ascii="Franklin Gothic Book" w:hAnsi="Franklin Gothic Book" w:cs="Arial"/>
            <w:color w:val="auto"/>
            <w:sz w:val="20"/>
            <w:szCs w:val="20"/>
          </w:rPr>
          <w:t>ruth.clay@trelleborg.com</w:t>
        </w:r>
      </w:hyperlink>
      <w:r w:rsidRPr="006F5952">
        <w:rPr>
          <w:rFonts w:ascii="Franklin Gothic Book" w:hAnsi="Franklin Gothic Book" w:cs="Arial"/>
          <w:sz w:val="20"/>
          <w:szCs w:val="20"/>
        </w:rPr>
        <w:t xml:space="preserve">. </w:t>
      </w:r>
    </w:p>
    <w:p w14:paraId="226295B5" w14:textId="77777777" w:rsidR="00AB417F" w:rsidRPr="006F5952" w:rsidRDefault="00AB417F" w:rsidP="00AB417F">
      <w:pPr>
        <w:autoSpaceDE w:val="0"/>
        <w:autoSpaceDN w:val="0"/>
        <w:adjustRightInd w:val="0"/>
        <w:spacing w:after="120" w:line="360" w:lineRule="auto"/>
        <w:ind w:left="-142"/>
        <w:rPr>
          <w:rFonts w:ascii="Franklin Gothic Book" w:hAnsi="Franklin Gothic Book" w:cs="Arial"/>
          <w:sz w:val="20"/>
          <w:szCs w:val="20"/>
        </w:rPr>
      </w:pPr>
      <w:r w:rsidRPr="006F5952">
        <w:rPr>
          <w:rFonts w:ascii="Franklin Gothic Book" w:hAnsi="Franklin Gothic Book" w:cs="Arial"/>
          <w:sz w:val="20"/>
          <w:szCs w:val="20"/>
        </w:rPr>
        <w:t>For additional information on Trelleborg Sealing Solutions, please contact Barry Clough, Mobile: +44 (0)7710 354 466; barry.clough@trelleborg.com</w:t>
      </w:r>
      <w:r>
        <w:rPr>
          <w:rFonts w:ascii="Franklin Gothic Book" w:hAnsi="Franklin Gothic Book" w:cs="Arial"/>
          <w:sz w:val="20"/>
          <w:szCs w:val="20"/>
        </w:rPr>
        <w:t>.</w:t>
      </w:r>
    </w:p>
    <w:p w14:paraId="3B15F834" w14:textId="77777777" w:rsidR="00AB417F" w:rsidRPr="00104203" w:rsidRDefault="00AB417F" w:rsidP="00104203">
      <w:pPr>
        <w:autoSpaceDE w:val="0"/>
        <w:autoSpaceDN w:val="0"/>
        <w:adjustRightInd w:val="0"/>
        <w:spacing w:after="120" w:line="360" w:lineRule="auto"/>
        <w:ind w:left="-142"/>
        <w:rPr>
          <w:rFonts w:ascii="Franklin Gothic Book" w:hAnsi="Franklin Gothic Book" w:cs="Arial"/>
          <w:sz w:val="20"/>
          <w:szCs w:val="20"/>
        </w:rPr>
      </w:pPr>
      <w:r w:rsidRPr="006F5952">
        <w:rPr>
          <w:rFonts w:ascii="Franklin Gothic Book" w:hAnsi="Franklin Gothic Book" w:cs="Arial"/>
          <w:iCs/>
          <w:sz w:val="20"/>
          <w:szCs w:val="20"/>
        </w:rPr>
        <w:t xml:space="preserve">For additional information on Trelleborg’s </w:t>
      </w:r>
      <w:r>
        <w:rPr>
          <w:rFonts w:ascii="Franklin Gothic Book" w:hAnsi="Franklin Gothic Book" w:cs="Arial"/>
          <w:iCs/>
          <w:sz w:val="20"/>
          <w:szCs w:val="20"/>
        </w:rPr>
        <w:t xml:space="preserve">oil and marine hoses operation, please contact </w:t>
      </w:r>
      <w:r w:rsidRPr="00AB417F">
        <w:rPr>
          <w:rFonts w:ascii="Franklin Gothic Book" w:hAnsi="Franklin Gothic Book" w:cs="Arial"/>
          <w:iCs/>
          <w:sz w:val="20"/>
          <w:szCs w:val="20"/>
        </w:rPr>
        <w:t>Peter Jackson</w:t>
      </w:r>
      <w:r>
        <w:rPr>
          <w:rFonts w:ascii="Franklin Gothic Book" w:hAnsi="Franklin Gothic Book" w:cs="Arial"/>
          <w:iCs/>
          <w:sz w:val="20"/>
          <w:szCs w:val="20"/>
        </w:rPr>
        <w:t xml:space="preserve">, Mobile: </w:t>
      </w:r>
      <w:r w:rsidRPr="00AB417F">
        <w:rPr>
          <w:rFonts w:ascii="Franklin Gothic Book" w:hAnsi="Franklin Gothic Book" w:cs="Arial"/>
          <w:iCs/>
          <w:sz w:val="20"/>
          <w:szCs w:val="20"/>
        </w:rPr>
        <w:t>+44 7757 393786</w:t>
      </w:r>
      <w:r>
        <w:rPr>
          <w:rFonts w:ascii="Franklin Gothic Book" w:hAnsi="Franklin Gothic Book" w:cs="Arial"/>
          <w:iCs/>
          <w:sz w:val="20"/>
          <w:szCs w:val="20"/>
        </w:rPr>
        <w:t xml:space="preserve">, </w:t>
      </w:r>
      <w:r w:rsidRPr="00AB417F">
        <w:rPr>
          <w:rFonts w:ascii="Franklin Gothic Book" w:hAnsi="Franklin Gothic Book" w:cs="Arial"/>
          <w:iCs/>
          <w:sz w:val="20"/>
          <w:szCs w:val="20"/>
        </w:rPr>
        <w:t>Peter.Jackson@blue-comms.com</w:t>
      </w:r>
      <w:r>
        <w:rPr>
          <w:rFonts w:ascii="Franklin Gothic Book" w:hAnsi="Franklin Gothic Book" w:cs="Arial"/>
          <w:iCs/>
          <w:sz w:val="20"/>
          <w:szCs w:val="20"/>
        </w:rPr>
        <w:t>.</w:t>
      </w:r>
    </w:p>
    <w:p w14:paraId="54DFA640" w14:textId="77777777" w:rsidR="00824711" w:rsidRPr="006F5952" w:rsidRDefault="00824711" w:rsidP="00534B2A">
      <w:pPr>
        <w:spacing w:after="120" w:line="360" w:lineRule="auto"/>
        <w:ind w:left="-142"/>
        <w:rPr>
          <w:rFonts w:ascii="Franklin Gothic Book" w:hAnsi="Franklin Gothic Book" w:cs="Arial"/>
          <w:sz w:val="20"/>
          <w:szCs w:val="20"/>
          <w:lang w:val="en-GB"/>
        </w:rPr>
      </w:pPr>
      <w:r w:rsidRPr="006F5952">
        <w:rPr>
          <w:rFonts w:ascii="Franklin Gothic Book" w:hAnsi="Franklin Gothic Book" w:cs="Arial"/>
          <w:b/>
          <w:iCs/>
          <w:sz w:val="20"/>
          <w:szCs w:val="20"/>
          <w:lang w:val="en-GB"/>
        </w:rPr>
        <w:t xml:space="preserve">Notes to Editors: </w:t>
      </w:r>
    </w:p>
    <w:p w14:paraId="22F9CA68" w14:textId="77777777" w:rsidR="00824711" w:rsidRPr="006F5952" w:rsidRDefault="00E06998" w:rsidP="00534B2A">
      <w:pPr>
        <w:spacing w:after="120" w:line="360" w:lineRule="auto"/>
        <w:ind w:left="-142"/>
        <w:rPr>
          <w:rFonts w:ascii="Franklin Gothic Book" w:eastAsiaTheme="minorEastAsia" w:hAnsi="Franklin Gothic Book" w:cs="Arial"/>
          <w:sz w:val="20"/>
          <w:szCs w:val="20"/>
          <w:lang w:val="en-GB" w:eastAsia="zh-TW" w:bidi="th-TH"/>
        </w:rPr>
      </w:pPr>
      <w:r>
        <w:rPr>
          <w:rFonts w:ascii="Franklin Gothic Book" w:hAnsi="Franklin Gothic Book" w:cs="Arial"/>
          <w:b/>
          <w:iCs/>
          <w:sz w:val="20"/>
          <w:szCs w:val="20"/>
          <w:lang w:val="en-GB"/>
        </w:rPr>
        <w:t>About</w:t>
      </w:r>
      <w:r w:rsidR="00824711" w:rsidRPr="006F5952">
        <w:rPr>
          <w:rFonts w:ascii="Franklin Gothic Book" w:hAnsi="Franklin Gothic Book" w:cs="Arial"/>
          <w:b/>
          <w:iCs/>
          <w:sz w:val="20"/>
          <w:szCs w:val="20"/>
          <w:lang w:val="en-GB"/>
        </w:rPr>
        <w:t xml:space="preserve"> Trelleborg Group</w:t>
      </w:r>
    </w:p>
    <w:p w14:paraId="63D6B37F" w14:textId="77777777" w:rsidR="00824711" w:rsidRPr="006F5952" w:rsidRDefault="00196CF2" w:rsidP="00534B2A">
      <w:pPr>
        <w:spacing w:after="120" w:line="240" w:lineRule="auto"/>
        <w:rPr>
          <w:rFonts w:ascii="Franklin Gothic Book" w:hAnsi="Franklin Gothic Book" w:cs="Arial"/>
          <w:sz w:val="24"/>
          <w:szCs w:val="24"/>
        </w:rPr>
      </w:pPr>
      <w:r w:rsidRPr="00196CF2">
        <w:rPr>
          <w:rFonts w:ascii="Franklin Gothic Book" w:hAnsi="Franklin Gothic Book" w:cs="Arial"/>
          <w:b/>
          <w:bCs/>
          <w:iCs/>
          <w:sz w:val="20"/>
          <w:szCs w:val="20"/>
        </w:rPr>
        <w:t xml:space="preserve">Trelleborg </w:t>
      </w:r>
      <w:r w:rsidRPr="00196CF2">
        <w:rPr>
          <w:rFonts w:ascii="Franklin Gothic Book" w:hAnsi="Franklin Gothic Book" w:cs="Arial"/>
          <w:bCs/>
          <w:iCs/>
          <w:sz w:val="20"/>
          <w:szCs w:val="20"/>
        </w:rPr>
        <w:t>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sectPr w:rsidR="00824711" w:rsidRPr="006F595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CBAE4" w14:textId="77777777" w:rsidR="00EC0CF3" w:rsidRDefault="00EC0CF3" w:rsidP="00062857">
      <w:pPr>
        <w:spacing w:after="0" w:line="240" w:lineRule="auto"/>
      </w:pPr>
      <w:r>
        <w:separator/>
      </w:r>
    </w:p>
  </w:endnote>
  <w:endnote w:type="continuationSeparator" w:id="0">
    <w:p w14:paraId="7460BDF6" w14:textId="77777777" w:rsidR="00EC0CF3" w:rsidRDefault="00EC0CF3"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282B" w14:textId="77777777" w:rsidR="00EC0CF3" w:rsidRDefault="00EC0CF3" w:rsidP="00062857">
      <w:pPr>
        <w:spacing w:after="0" w:line="240" w:lineRule="auto"/>
      </w:pPr>
      <w:r>
        <w:separator/>
      </w:r>
    </w:p>
  </w:footnote>
  <w:footnote w:type="continuationSeparator" w:id="0">
    <w:p w14:paraId="5213D098" w14:textId="77777777" w:rsidR="00EC0CF3" w:rsidRDefault="00EC0CF3"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F605" w14:textId="77777777" w:rsidR="00D942EE" w:rsidRDefault="00D942EE" w:rsidP="00D942EE">
    <w:pPr>
      <w:pStyle w:val="Header"/>
      <w:jc w:val="center"/>
    </w:pPr>
    <w:r>
      <w:rPr>
        <w:noProof/>
      </w:rPr>
      <w:drawing>
        <wp:inline distT="0" distB="0" distL="0" distR="0" wp14:anchorId="48B2FE28" wp14:editId="15CD2E7C">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6B45D8C8"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xNDM3tTA1trSwNLdU0lEKTi0uzszPAykwtKgFABHPZLotAAAA"/>
  </w:docVars>
  <w:rsids>
    <w:rsidRoot w:val="0056288C"/>
    <w:rsid w:val="000000F6"/>
    <w:rsid w:val="00002024"/>
    <w:rsid w:val="000031A8"/>
    <w:rsid w:val="00003877"/>
    <w:rsid w:val="00010B0E"/>
    <w:rsid w:val="000164FE"/>
    <w:rsid w:val="00053A48"/>
    <w:rsid w:val="00062857"/>
    <w:rsid w:val="00067CBE"/>
    <w:rsid w:val="00073F85"/>
    <w:rsid w:val="00074FDC"/>
    <w:rsid w:val="0008059F"/>
    <w:rsid w:val="00095DCC"/>
    <w:rsid w:val="00097990"/>
    <w:rsid w:val="000A71F8"/>
    <w:rsid w:val="000C464B"/>
    <w:rsid w:val="000D7D6A"/>
    <w:rsid w:val="00104203"/>
    <w:rsid w:val="00112153"/>
    <w:rsid w:val="00121F58"/>
    <w:rsid w:val="00126EB7"/>
    <w:rsid w:val="00137E26"/>
    <w:rsid w:val="00145316"/>
    <w:rsid w:val="001455F3"/>
    <w:rsid w:val="00196CF2"/>
    <w:rsid w:val="001A7B0B"/>
    <w:rsid w:val="001B3AD0"/>
    <w:rsid w:val="001B4492"/>
    <w:rsid w:val="001C58F2"/>
    <w:rsid w:val="001E2678"/>
    <w:rsid w:val="001F599D"/>
    <w:rsid w:val="00211ACE"/>
    <w:rsid w:val="00213A4D"/>
    <w:rsid w:val="0022634A"/>
    <w:rsid w:val="00245C7F"/>
    <w:rsid w:val="00256527"/>
    <w:rsid w:val="00262BA7"/>
    <w:rsid w:val="00266DA8"/>
    <w:rsid w:val="00283ED5"/>
    <w:rsid w:val="00297459"/>
    <w:rsid w:val="002978A3"/>
    <w:rsid w:val="002A0BA4"/>
    <w:rsid w:val="002B639C"/>
    <w:rsid w:val="002D3150"/>
    <w:rsid w:val="002D39BB"/>
    <w:rsid w:val="002F1F53"/>
    <w:rsid w:val="002F620F"/>
    <w:rsid w:val="00306BC9"/>
    <w:rsid w:val="00310F99"/>
    <w:rsid w:val="003407F3"/>
    <w:rsid w:val="00355ABE"/>
    <w:rsid w:val="0037296A"/>
    <w:rsid w:val="003751EF"/>
    <w:rsid w:val="00397FC8"/>
    <w:rsid w:val="003A6FF3"/>
    <w:rsid w:val="003B24C0"/>
    <w:rsid w:val="003B308B"/>
    <w:rsid w:val="003E07F2"/>
    <w:rsid w:val="003E53A7"/>
    <w:rsid w:val="003E5963"/>
    <w:rsid w:val="00416233"/>
    <w:rsid w:val="00425751"/>
    <w:rsid w:val="0042787A"/>
    <w:rsid w:val="00442D3A"/>
    <w:rsid w:val="00447895"/>
    <w:rsid w:val="004516FD"/>
    <w:rsid w:val="00456595"/>
    <w:rsid w:val="00460BFE"/>
    <w:rsid w:val="004853FB"/>
    <w:rsid w:val="00494FDA"/>
    <w:rsid w:val="004A1972"/>
    <w:rsid w:val="004A7215"/>
    <w:rsid w:val="004C1455"/>
    <w:rsid w:val="004D57D5"/>
    <w:rsid w:val="00533048"/>
    <w:rsid w:val="00534B2A"/>
    <w:rsid w:val="00542C9A"/>
    <w:rsid w:val="0056288C"/>
    <w:rsid w:val="005738B2"/>
    <w:rsid w:val="00583AC2"/>
    <w:rsid w:val="005853DB"/>
    <w:rsid w:val="005A4536"/>
    <w:rsid w:val="005A51F5"/>
    <w:rsid w:val="005B121C"/>
    <w:rsid w:val="005C324C"/>
    <w:rsid w:val="005C6E70"/>
    <w:rsid w:val="005F1FAE"/>
    <w:rsid w:val="00615723"/>
    <w:rsid w:val="0061733A"/>
    <w:rsid w:val="00617B14"/>
    <w:rsid w:val="006365B0"/>
    <w:rsid w:val="00644075"/>
    <w:rsid w:val="0065032E"/>
    <w:rsid w:val="00653299"/>
    <w:rsid w:val="00654756"/>
    <w:rsid w:val="00665B11"/>
    <w:rsid w:val="006A3C24"/>
    <w:rsid w:val="006B458E"/>
    <w:rsid w:val="006B5655"/>
    <w:rsid w:val="006E3415"/>
    <w:rsid w:val="006F06E7"/>
    <w:rsid w:val="006F46D1"/>
    <w:rsid w:val="006F5952"/>
    <w:rsid w:val="006F791D"/>
    <w:rsid w:val="00751BEF"/>
    <w:rsid w:val="00753C85"/>
    <w:rsid w:val="007554FD"/>
    <w:rsid w:val="00756DCA"/>
    <w:rsid w:val="0077589B"/>
    <w:rsid w:val="00777913"/>
    <w:rsid w:val="00783751"/>
    <w:rsid w:val="007A060F"/>
    <w:rsid w:val="007A10F4"/>
    <w:rsid w:val="007A5039"/>
    <w:rsid w:val="007B2884"/>
    <w:rsid w:val="007D65B3"/>
    <w:rsid w:val="00810B50"/>
    <w:rsid w:val="0081346F"/>
    <w:rsid w:val="00824711"/>
    <w:rsid w:val="00827D5D"/>
    <w:rsid w:val="00832A0B"/>
    <w:rsid w:val="008354C3"/>
    <w:rsid w:val="00840033"/>
    <w:rsid w:val="00853BEE"/>
    <w:rsid w:val="008627EE"/>
    <w:rsid w:val="0088002F"/>
    <w:rsid w:val="00883950"/>
    <w:rsid w:val="008A3E9B"/>
    <w:rsid w:val="008A6777"/>
    <w:rsid w:val="008B3DEE"/>
    <w:rsid w:val="008C3C92"/>
    <w:rsid w:val="008D2778"/>
    <w:rsid w:val="008E007C"/>
    <w:rsid w:val="008F177E"/>
    <w:rsid w:val="008F4C63"/>
    <w:rsid w:val="009069E7"/>
    <w:rsid w:val="00921332"/>
    <w:rsid w:val="009236E5"/>
    <w:rsid w:val="0093222F"/>
    <w:rsid w:val="00937329"/>
    <w:rsid w:val="009463CB"/>
    <w:rsid w:val="009513E1"/>
    <w:rsid w:val="00962BBB"/>
    <w:rsid w:val="00967EBC"/>
    <w:rsid w:val="00971878"/>
    <w:rsid w:val="00972493"/>
    <w:rsid w:val="009735FF"/>
    <w:rsid w:val="00975793"/>
    <w:rsid w:val="009831DB"/>
    <w:rsid w:val="009A380F"/>
    <w:rsid w:val="009A502F"/>
    <w:rsid w:val="009A6F23"/>
    <w:rsid w:val="009B4908"/>
    <w:rsid w:val="009B5757"/>
    <w:rsid w:val="009B6090"/>
    <w:rsid w:val="009C0F60"/>
    <w:rsid w:val="009C5A97"/>
    <w:rsid w:val="009C7C15"/>
    <w:rsid w:val="009D637C"/>
    <w:rsid w:val="009F1718"/>
    <w:rsid w:val="009F302E"/>
    <w:rsid w:val="00A071AC"/>
    <w:rsid w:val="00A16ACC"/>
    <w:rsid w:val="00A2780D"/>
    <w:rsid w:val="00A34477"/>
    <w:rsid w:val="00A362AA"/>
    <w:rsid w:val="00A40B43"/>
    <w:rsid w:val="00A4726C"/>
    <w:rsid w:val="00A61CD1"/>
    <w:rsid w:val="00A762EB"/>
    <w:rsid w:val="00A85BB2"/>
    <w:rsid w:val="00A964B9"/>
    <w:rsid w:val="00AA68B0"/>
    <w:rsid w:val="00AA7559"/>
    <w:rsid w:val="00AB17D4"/>
    <w:rsid w:val="00AB417F"/>
    <w:rsid w:val="00AC13CE"/>
    <w:rsid w:val="00AC5846"/>
    <w:rsid w:val="00AE23C9"/>
    <w:rsid w:val="00AF4B80"/>
    <w:rsid w:val="00AF667A"/>
    <w:rsid w:val="00B069AB"/>
    <w:rsid w:val="00B177B6"/>
    <w:rsid w:val="00B26390"/>
    <w:rsid w:val="00B30674"/>
    <w:rsid w:val="00B411C7"/>
    <w:rsid w:val="00B5168A"/>
    <w:rsid w:val="00BA5C00"/>
    <w:rsid w:val="00BB011E"/>
    <w:rsid w:val="00BB09AE"/>
    <w:rsid w:val="00BB37CF"/>
    <w:rsid w:val="00BE70F7"/>
    <w:rsid w:val="00BF3DE7"/>
    <w:rsid w:val="00C12D34"/>
    <w:rsid w:val="00C21EB6"/>
    <w:rsid w:val="00C42533"/>
    <w:rsid w:val="00C45770"/>
    <w:rsid w:val="00C52A8C"/>
    <w:rsid w:val="00C571F1"/>
    <w:rsid w:val="00C610ED"/>
    <w:rsid w:val="00C64D34"/>
    <w:rsid w:val="00C71F26"/>
    <w:rsid w:val="00C82D8E"/>
    <w:rsid w:val="00C83521"/>
    <w:rsid w:val="00C84092"/>
    <w:rsid w:val="00C869DB"/>
    <w:rsid w:val="00C87261"/>
    <w:rsid w:val="00C9686E"/>
    <w:rsid w:val="00CA4223"/>
    <w:rsid w:val="00CA4291"/>
    <w:rsid w:val="00CA7BC7"/>
    <w:rsid w:val="00CB3BAF"/>
    <w:rsid w:val="00CB4CCB"/>
    <w:rsid w:val="00CC257C"/>
    <w:rsid w:val="00CC3BB6"/>
    <w:rsid w:val="00CD32D4"/>
    <w:rsid w:val="00CD6C43"/>
    <w:rsid w:val="00CE42A6"/>
    <w:rsid w:val="00CE4C45"/>
    <w:rsid w:val="00D00418"/>
    <w:rsid w:val="00D00BAB"/>
    <w:rsid w:val="00D026F6"/>
    <w:rsid w:val="00D20F73"/>
    <w:rsid w:val="00D40C1A"/>
    <w:rsid w:val="00D41ABE"/>
    <w:rsid w:val="00D628E6"/>
    <w:rsid w:val="00D67F5D"/>
    <w:rsid w:val="00D74420"/>
    <w:rsid w:val="00D9004B"/>
    <w:rsid w:val="00D942EE"/>
    <w:rsid w:val="00D970D3"/>
    <w:rsid w:val="00DA67ED"/>
    <w:rsid w:val="00DA7074"/>
    <w:rsid w:val="00DB4768"/>
    <w:rsid w:val="00DB5243"/>
    <w:rsid w:val="00DC5248"/>
    <w:rsid w:val="00DD708E"/>
    <w:rsid w:val="00DE08F4"/>
    <w:rsid w:val="00DE0EA5"/>
    <w:rsid w:val="00E06998"/>
    <w:rsid w:val="00E14015"/>
    <w:rsid w:val="00E26607"/>
    <w:rsid w:val="00E34DF4"/>
    <w:rsid w:val="00E52891"/>
    <w:rsid w:val="00E5510C"/>
    <w:rsid w:val="00E55E2D"/>
    <w:rsid w:val="00E85687"/>
    <w:rsid w:val="00E971C5"/>
    <w:rsid w:val="00EC02B4"/>
    <w:rsid w:val="00EC0CF3"/>
    <w:rsid w:val="00EC52CA"/>
    <w:rsid w:val="00EC5648"/>
    <w:rsid w:val="00ED2EE0"/>
    <w:rsid w:val="00ED4B5E"/>
    <w:rsid w:val="00EE35F8"/>
    <w:rsid w:val="00F1213A"/>
    <w:rsid w:val="00F15337"/>
    <w:rsid w:val="00F21326"/>
    <w:rsid w:val="00F35FD3"/>
    <w:rsid w:val="00F37454"/>
    <w:rsid w:val="00F4756E"/>
    <w:rsid w:val="00F52600"/>
    <w:rsid w:val="00F53CAE"/>
    <w:rsid w:val="00F65C34"/>
    <w:rsid w:val="00F66313"/>
    <w:rsid w:val="00FA0EDB"/>
    <w:rsid w:val="00FB39EB"/>
    <w:rsid w:val="00FC1BB4"/>
    <w:rsid w:val="00FD0AE9"/>
    <w:rsid w:val="00FD3B3C"/>
    <w:rsid w:val="00F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76F6"/>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customStyle="1" w:styleId="Heading2Char">
    <w:name w:val="Heading 2 Char"/>
    <w:basedOn w:val="DefaultParagraphFont"/>
    <w:link w:val="Heading2"/>
    <w:uiPriority w:val="9"/>
    <w:rsid w:val="00CB3BAF"/>
    <w:rPr>
      <w:rFonts w:ascii="Times New Roman" w:eastAsia="Times New Roman" w:hAnsi="Times New Roman" w:cs="Times New Roman"/>
      <w:b/>
      <w:bCs/>
      <w:sz w:val="36"/>
      <w:szCs w:val="36"/>
    </w:rPr>
  </w:style>
  <w:style w:type="paragraph" w:customStyle="1" w:styleId="general-article-date">
    <w:name w:val="general-article-date"/>
    <w:basedOn w:val="Normal"/>
    <w:rsid w:val="00CB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AF"/>
    <w:rPr>
      <w:b/>
      <w:bCs/>
    </w:rPr>
  </w:style>
  <w:style w:type="character" w:styleId="Emphasis">
    <w:name w:val="Emphasis"/>
    <w:basedOn w:val="DefaultParagraphFont"/>
    <w:uiPriority w:val="20"/>
    <w:qFormat/>
    <w:rsid w:val="00CB3BAF"/>
    <w:rPr>
      <w:i/>
      <w:iCs/>
    </w:rPr>
  </w:style>
  <w:style w:type="paragraph" w:styleId="PlainText">
    <w:name w:val="Plain Text"/>
    <w:basedOn w:val="Normal"/>
    <w:link w:val="PlainTextChar"/>
    <w:uiPriority w:val="99"/>
    <w:semiHidden/>
    <w:unhideWhenUsed/>
    <w:rsid w:val="00F213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132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181">
      <w:bodyDiv w:val="1"/>
      <w:marLeft w:val="0"/>
      <w:marRight w:val="0"/>
      <w:marTop w:val="0"/>
      <w:marBottom w:val="0"/>
      <w:divBdr>
        <w:top w:val="none" w:sz="0" w:space="0" w:color="auto"/>
        <w:left w:val="none" w:sz="0" w:space="0" w:color="auto"/>
        <w:bottom w:val="none" w:sz="0" w:space="0" w:color="auto"/>
        <w:right w:val="none" w:sz="0" w:space="0" w:color="auto"/>
      </w:divBdr>
    </w:div>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122846427">
      <w:bodyDiv w:val="1"/>
      <w:marLeft w:val="0"/>
      <w:marRight w:val="0"/>
      <w:marTop w:val="0"/>
      <w:marBottom w:val="0"/>
      <w:divBdr>
        <w:top w:val="none" w:sz="0" w:space="0" w:color="auto"/>
        <w:left w:val="none" w:sz="0" w:space="0" w:color="auto"/>
        <w:bottom w:val="none" w:sz="0" w:space="0" w:color="auto"/>
        <w:right w:val="none" w:sz="0" w:space="0" w:color="auto"/>
      </w:divBdr>
      <w:divsChild>
        <w:div w:id="878973758">
          <w:marLeft w:val="0"/>
          <w:marRight w:val="0"/>
          <w:marTop w:val="0"/>
          <w:marBottom w:val="0"/>
          <w:divBdr>
            <w:top w:val="none" w:sz="0" w:space="0" w:color="auto"/>
            <w:left w:val="none" w:sz="0" w:space="0" w:color="auto"/>
            <w:bottom w:val="none" w:sz="0" w:space="0" w:color="auto"/>
            <w:right w:val="none" w:sz="0" w:space="0" w:color="auto"/>
          </w:divBdr>
        </w:div>
      </w:divsChild>
    </w:div>
    <w:div w:id="1124077027">
      <w:bodyDiv w:val="1"/>
      <w:marLeft w:val="0"/>
      <w:marRight w:val="0"/>
      <w:marTop w:val="0"/>
      <w:marBottom w:val="0"/>
      <w:divBdr>
        <w:top w:val="none" w:sz="0" w:space="0" w:color="auto"/>
        <w:left w:val="none" w:sz="0" w:space="0" w:color="auto"/>
        <w:bottom w:val="none" w:sz="0" w:space="0" w:color="auto"/>
        <w:right w:val="none" w:sz="0" w:space="0" w:color="auto"/>
      </w:divBdr>
    </w:div>
    <w:div w:id="1161122692">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62862855">
      <w:bodyDiv w:val="1"/>
      <w:marLeft w:val="0"/>
      <w:marRight w:val="0"/>
      <w:marTop w:val="0"/>
      <w:marBottom w:val="0"/>
      <w:divBdr>
        <w:top w:val="none" w:sz="0" w:space="0" w:color="auto"/>
        <w:left w:val="none" w:sz="0" w:space="0" w:color="auto"/>
        <w:bottom w:val="none" w:sz="0" w:space="0" w:color="auto"/>
        <w:right w:val="none" w:sz="0" w:space="0" w:color="auto"/>
      </w:divBdr>
    </w:div>
    <w:div w:id="1581212635">
      <w:bodyDiv w:val="1"/>
      <w:marLeft w:val="0"/>
      <w:marRight w:val="0"/>
      <w:marTop w:val="0"/>
      <w:marBottom w:val="0"/>
      <w:divBdr>
        <w:top w:val="none" w:sz="0" w:space="0" w:color="auto"/>
        <w:left w:val="none" w:sz="0" w:space="0" w:color="auto"/>
        <w:bottom w:val="none" w:sz="0" w:space="0" w:color="auto"/>
        <w:right w:val="none" w:sz="0" w:space="0" w:color="auto"/>
      </w:divBdr>
    </w:div>
    <w:div w:id="2115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th.clay@trelleborg.com" TargetMode="External"/><Relationship Id="rId5" Type="http://schemas.openxmlformats.org/officeDocument/2006/relationships/styles" Target="styles.xml"/><Relationship Id="rId10" Type="http://schemas.openxmlformats.org/officeDocument/2006/relationships/hyperlink" Target="mailto:dawn@rippleeffectp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2.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8A5028-12BC-4E88-9476-AA6F5B78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2</cp:revision>
  <cp:lastPrinted>2018-03-21T12:30:00Z</cp:lastPrinted>
  <dcterms:created xsi:type="dcterms:W3CDTF">2018-04-18T21:36:00Z</dcterms:created>
  <dcterms:modified xsi:type="dcterms:W3CDTF">2018-04-18T21:36:00Z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