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8B2B" w14:textId="77777777" w:rsidR="00F21326" w:rsidRPr="00CA4291" w:rsidRDefault="00F21326" w:rsidP="00534B2A">
      <w:pPr>
        <w:spacing w:line="240" w:lineRule="auto"/>
        <w:rPr>
          <w:rFonts w:ascii="Franklin Gothic Book" w:hAnsi="Franklin Gothic Book" w:cs="Arial"/>
        </w:rPr>
      </w:pPr>
      <w:r w:rsidRPr="00CA4291">
        <w:rPr>
          <w:rFonts w:ascii="Franklin Gothic Book" w:hAnsi="Franklin Gothic Book" w:cs="Arial"/>
        </w:rPr>
        <w:t>Offshore Technology Conference</w:t>
      </w:r>
    </w:p>
    <w:p w14:paraId="3454C42B" w14:textId="77777777" w:rsidR="00F21326" w:rsidRPr="00CA4291" w:rsidRDefault="00196CF2" w:rsidP="00534B2A">
      <w:pPr>
        <w:tabs>
          <w:tab w:val="right" w:pos="8973"/>
        </w:tabs>
        <w:spacing w:line="240" w:lineRule="auto"/>
        <w:rPr>
          <w:rFonts w:ascii="Franklin Gothic Book" w:hAnsi="Franklin Gothic Book" w:cs="Arial"/>
        </w:rPr>
      </w:pPr>
      <w:r>
        <w:rPr>
          <w:rFonts w:ascii="Franklin Gothic Book" w:hAnsi="Franklin Gothic Book" w:cs="Arial"/>
        </w:rPr>
        <w:t>April 30 – May 3, 2018</w:t>
      </w:r>
    </w:p>
    <w:p w14:paraId="32F66D67" w14:textId="77777777" w:rsidR="00F21326" w:rsidRPr="00CA4291" w:rsidRDefault="00F21326" w:rsidP="00534B2A">
      <w:pPr>
        <w:tabs>
          <w:tab w:val="right" w:pos="8973"/>
        </w:tabs>
        <w:spacing w:line="240" w:lineRule="auto"/>
        <w:rPr>
          <w:rFonts w:ascii="Franklin Gothic Book" w:hAnsi="Franklin Gothic Book" w:cs="Arial"/>
        </w:rPr>
      </w:pPr>
      <w:r w:rsidRPr="00CA4291">
        <w:rPr>
          <w:rFonts w:ascii="Franklin Gothic Book" w:hAnsi="Franklin Gothic Book" w:cs="Arial"/>
        </w:rPr>
        <w:t>Houston, Texas</w:t>
      </w:r>
    </w:p>
    <w:p w14:paraId="32CFE2B5" w14:textId="77777777" w:rsidR="00F21326" w:rsidRPr="00CA4291" w:rsidRDefault="00196CF2" w:rsidP="00534B2A">
      <w:pPr>
        <w:spacing w:line="240" w:lineRule="auto"/>
        <w:rPr>
          <w:rFonts w:ascii="Franklin Gothic Book" w:hAnsi="Franklin Gothic Book" w:cs="Arial"/>
        </w:rPr>
      </w:pPr>
      <w:r>
        <w:rPr>
          <w:rFonts w:ascii="Franklin Gothic Book" w:hAnsi="Franklin Gothic Book" w:cs="Arial"/>
        </w:rPr>
        <w:t>Stand No.: 3227</w:t>
      </w:r>
    </w:p>
    <w:p w14:paraId="6C390EDF" w14:textId="77777777" w:rsidR="00CB3BAF" w:rsidRPr="00534B2A" w:rsidRDefault="00AF4B80" w:rsidP="00534B2A">
      <w:pPr>
        <w:shd w:val="clear" w:color="auto" w:fill="FFFFFF"/>
        <w:spacing w:after="127" w:line="288" w:lineRule="atLeast"/>
        <w:jc w:val="right"/>
        <w:outlineLvl w:val="1"/>
        <w:rPr>
          <w:rFonts w:ascii="Franklin Gothic Book" w:eastAsia="Times New Roman" w:hAnsi="Franklin Gothic Book" w:cs="Arial"/>
          <w:b/>
        </w:rPr>
      </w:pPr>
      <w:r>
        <w:rPr>
          <w:rFonts w:ascii="Franklin Gothic Book" w:eastAsia="Times New Roman" w:hAnsi="Franklin Gothic Book" w:cs="Arial"/>
          <w:b/>
        </w:rPr>
        <w:t>April</w:t>
      </w:r>
      <w:r w:rsidR="00196CF2" w:rsidRPr="00534B2A">
        <w:rPr>
          <w:rFonts w:ascii="Franklin Gothic Book" w:eastAsia="Times New Roman" w:hAnsi="Franklin Gothic Book" w:cs="Arial"/>
          <w:b/>
        </w:rPr>
        <w:t xml:space="preserve"> 2018</w:t>
      </w:r>
    </w:p>
    <w:p w14:paraId="28826119" w14:textId="4E4B8070" w:rsidR="00E35FD4" w:rsidRPr="00E35FD4" w:rsidRDefault="0067080A" w:rsidP="00E35FD4">
      <w:pPr>
        <w:shd w:val="clear" w:color="auto" w:fill="FFFFFF"/>
        <w:spacing w:after="0" w:line="240" w:lineRule="auto"/>
        <w:jc w:val="center"/>
        <w:rPr>
          <w:rFonts w:ascii="Franklin Gothic Book" w:eastAsia="Times New Roman" w:hAnsi="Franklin Gothic Book" w:cs="Arial"/>
          <w:b/>
        </w:rPr>
      </w:pPr>
      <w:r w:rsidRPr="00E35FD4">
        <w:rPr>
          <w:rFonts w:ascii="Franklin Gothic Book" w:eastAsia="Times New Roman" w:hAnsi="Franklin Gothic Book" w:cs="Arial"/>
          <w:b/>
        </w:rPr>
        <w:t>Diamond</w:t>
      </w:r>
      <w:r w:rsidR="00E35FD4" w:rsidRPr="00E35FD4">
        <w:rPr>
          <w:rFonts w:ascii="Franklin Gothic Book" w:eastAsia="Times New Roman" w:hAnsi="Franklin Gothic Book" w:cs="Arial"/>
          <w:b/>
        </w:rPr>
        <w:t xml:space="preserve"> Offshore</w:t>
      </w:r>
      <w:r w:rsidRPr="00E35FD4">
        <w:rPr>
          <w:rFonts w:ascii="Franklin Gothic Book" w:eastAsia="Times New Roman" w:hAnsi="Franklin Gothic Book" w:cs="Arial"/>
          <w:b/>
        </w:rPr>
        <w:t xml:space="preserve"> and </w:t>
      </w:r>
      <w:r w:rsidR="00A161F9" w:rsidRPr="00E35FD4">
        <w:rPr>
          <w:rFonts w:ascii="Franklin Gothic Book" w:eastAsia="Times New Roman" w:hAnsi="Franklin Gothic Book" w:cs="Arial"/>
          <w:b/>
        </w:rPr>
        <w:t>Trelleborg Win Award for Engineering Innovation</w:t>
      </w:r>
    </w:p>
    <w:p w14:paraId="78C049E5" w14:textId="511C85F2" w:rsidR="00E35FD4" w:rsidRPr="00E35FD4" w:rsidRDefault="00E35FD4" w:rsidP="00E35FD4">
      <w:pPr>
        <w:shd w:val="clear" w:color="auto" w:fill="FFFFFF"/>
        <w:spacing w:after="0" w:line="240" w:lineRule="auto"/>
        <w:jc w:val="center"/>
        <w:rPr>
          <w:rFonts w:ascii="Franklin Gothic Book" w:eastAsia="Times New Roman" w:hAnsi="Franklin Gothic Book" w:cs="Arial"/>
          <w:i/>
        </w:rPr>
      </w:pPr>
      <w:r w:rsidRPr="00E35FD4">
        <w:rPr>
          <w:rFonts w:ascii="Franklin Gothic Book" w:eastAsia="Times New Roman" w:hAnsi="Franklin Gothic Book" w:cs="Arial"/>
          <w:i/>
        </w:rPr>
        <w:t>Diamond Offshore and Trelleborg are called to the winner's circle for oil &amp; gas product advancements and officially recognized for forward-thinking engineering</w:t>
      </w:r>
    </w:p>
    <w:p w14:paraId="034C4F00" w14:textId="13120104" w:rsidR="00A161F9" w:rsidRPr="00A161F9" w:rsidRDefault="00A161F9" w:rsidP="00A161F9">
      <w:pPr>
        <w:shd w:val="clear" w:color="auto" w:fill="FFFFFF"/>
        <w:spacing w:line="360" w:lineRule="auto"/>
        <w:jc w:val="center"/>
        <w:rPr>
          <w:rFonts w:ascii="Franklin Gothic Book" w:eastAsia="Times New Roman" w:hAnsi="Franklin Gothic Book" w:cs="Arial"/>
          <w:b/>
        </w:rPr>
      </w:pPr>
    </w:p>
    <w:p w14:paraId="0254C922" w14:textId="639D4136" w:rsidR="00A161F9" w:rsidRPr="00A161F9" w:rsidRDefault="00A161F9" w:rsidP="00A161F9">
      <w:pPr>
        <w:shd w:val="clear" w:color="auto" w:fill="FFFFFF"/>
        <w:spacing w:line="360" w:lineRule="auto"/>
        <w:jc w:val="both"/>
        <w:rPr>
          <w:rFonts w:ascii="Franklin Gothic Book" w:eastAsia="Times New Roman" w:hAnsi="Franklin Gothic Book" w:cs="Arial"/>
        </w:rPr>
      </w:pPr>
      <w:r w:rsidRPr="00A161F9">
        <w:rPr>
          <w:rFonts w:ascii="Franklin Gothic Book" w:eastAsia="Times New Roman" w:hAnsi="Franklin Gothic Book" w:cs="Arial"/>
        </w:rPr>
        <w:t>HOUSTON, TX</w:t>
      </w:r>
      <w:r w:rsidR="00E35FD4">
        <w:rPr>
          <w:rFonts w:ascii="Franklin Gothic Book" w:eastAsia="Times New Roman" w:hAnsi="Franklin Gothic Book" w:cs="Arial"/>
        </w:rPr>
        <w:t xml:space="preserve">: </w:t>
      </w:r>
      <w:r w:rsidR="00E35FD4" w:rsidRPr="00E35FD4">
        <w:rPr>
          <w:rFonts w:ascii="Franklin Gothic Book" w:eastAsia="Times New Roman" w:hAnsi="Franklin Gothic Book" w:cs="Arial"/>
        </w:rPr>
        <w:t>Diamond Offshore</w:t>
      </w:r>
      <w:r w:rsidR="00E35FD4">
        <w:rPr>
          <w:rFonts w:ascii="Franklin Gothic Book" w:eastAsia="Times New Roman" w:hAnsi="Franklin Gothic Book" w:cs="Arial"/>
        </w:rPr>
        <w:t xml:space="preserve"> and </w:t>
      </w:r>
      <w:r w:rsidRPr="00A161F9">
        <w:rPr>
          <w:rFonts w:ascii="Franklin Gothic Book" w:eastAsia="Times New Roman" w:hAnsi="Franklin Gothic Book" w:cs="Arial"/>
        </w:rPr>
        <w:t>Trelleborg ha</w:t>
      </w:r>
      <w:r w:rsidR="00E35FD4">
        <w:rPr>
          <w:rFonts w:ascii="Franklin Gothic Book" w:eastAsia="Times New Roman" w:hAnsi="Franklin Gothic Book" w:cs="Arial"/>
        </w:rPr>
        <w:t>ve</w:t>
      </w:r>
      <w:r w:rsidRPr="00A161F9">
        <w:rPr>
          <w:rFonts w:ascii="Franklin Gothic Book" w:eastAsia="Times New Roman" w:hAnsi="Franklin Gothic Book" w:cs="Arial"/>
        </w:rPr>
        <w:t xml:space="preserve"> been </w:t>
      </w:r>
      <w:r w:rsidR="00F235F4">
        <w:rPr>
          <w:rFonts w:ascii="Franklin Gothic Book" w:eastAsia="Times New Roman" w:hAnsi="Franklin Gothic Book" w:cs="Arial"/>
        </w:rPr>
        <w:t xml:space="preserve">selected as </w:t>
      </w:r>
      <w:r w:rsidR="00F235F4" w:rsidRPr="00633206">
        <w:rPr>
          <w:rFonts w:ascii="Franklin Gothic Book" w:eastAsia="Times New Roman" w:hAnsi="Franklin Gothic Book" w:cs="Arial"/>
          <w:noProof/>
        </w:rPr>
        <w:t>on</w:t>
      </w:r>
      <w:r w:rsidR="00633206">
        <w:rPr>
          <w:rFonts w:ascii="Franklin Gothic Book" w:eastAsia="Times New Roman" w:hAnsi="Franklin Gothic Book" w:cs="Arial"/>
          <w:noProof/>
        </w:rPr>
        <w:t>e</w:t>
      </w:r>
      <w:r w:rsidR="00F235F4">
        <w:rPr>
          <w:rFonts w:ascii="Franklin Gothic Book" w:eastAsia="Times New Roman" w:hAnsi="Franklin Gothic Book" w:cs="Arial"/>
        </w:rPr>
        <w:t xml:space="preserve"> of the winners of</w:t>
      </w:r>
      <w:r w:rsidRPr="00A161F9">
        <w:rPr>
          <w:rFonts w:ascii="Franklin Gothic Book" w:eastAsia="Times New Roman" w:hAnsi="Franklin Gothic Book" w:cs="Arial"/>
        </w:rPr>
        <w:t xml:space="preserve"> E&amp;P Magazine's prestigious Special Meritorious Awards for Engineering Innovation (MEA) in </w:t>
      </w:r>
      <w:r w:rsidR="00E35FD4">
        <w:rPr>
          <w:rFonts w:ascii="Franklin Gothic Book" w:eastAsia="Times New Roman" w:hAnsi="Franklin Gothic Book" w:cs="Arial"/>
        </w:rPr>
        <w:t xml:space="preserve">the Subsea systems category for their joint development </w:t>
      </w:r>
      <w:r w:rsidR="00F235F4">
        <w:rPr>
          <w:rFonts w:ascii="Franklin Gothic Book" w:eastAsia="Times New Roman" w:hAnsi="Franklin Gothic Book" w:cs="Arial"/>
        </w:rPr>
        <w:t>technology</w:t>
      </w:r>
      <w:r w:rsidR="00E35FD4">
        <w:rPr>
          <w:rFonts w:ascii="Franklin Gothic Book" w:eastAsia="Times New Roman" w:hAnsi="Franklin Gothic Book" w:cs="Arial"/>
        </w:rPr>
        <w:t xml:space="preserve"> involving </w:t>
      </w:r>
      <w:r w:rsidR="00F235F4">
        <w:rPr>
          <w:rFonts w:ascii="Franklin Gothic Book" w:eastAsia="Times New Roman" w:hAnsi="Franklin Gothic Book" w:cs="Arial"/>
        </w:rPr>
        <w:t xml:space="preserve">creating a </w:t>
      </w:r>
      <w:r w:rsidR="00E35FD4" w:rsidRPr="00E35FD4">
        <w:rPr>
          <w:rFonts w:ascii="Franklin Gothic Book" w:eastAsia="Times New Roman" w:hAnsi="Franklin Gothic Book" w:cs="Arial"/>
        </w:rPr>
        <w:t xml:space="preserve">Helically Grooved </w:t>
      </w:r>
      <w:bookmarkStart w:id="0" w:name="_GoBack"/>
      <w:bookmarkEnd w:id="0"/>
      <w:r w:rsidR="00E35FD4" w:rsidRPr="00E35FD4">
        <w:rPr>
          <w:rFonts w:ascii="Franklin Gothic Book" w:eastAsia="Times New Roman" w:hAnsi="Franklin Gothic Book" w:cs="Arial"/>
        </w:rPr>
        <w:t xml:space="preserve">Buoyancy </w:t>
      </w:r>
      <w:r w:rsidR="00F235F4">
        <w:rPr>
          <w:rFonts w:ascii="Franklin Gothic Book" w:eastAsia="Times New Roman" w:hAnsi="Franklin Gothic Book" w:cs="Arial"/>
        </w:rPr>
        <w:t xml:space="preserve">design with </w:t>
      </w:r>
      <w:r w:rsidR="00E35FD4" w:rsidRPr="00E35FD4">
        <w:rPr>
          <w:rFonts w:ascii="Franklin Gothic Book" w:eastAsia="Times New Roman" w:hAnsi="Franklin Gothic Book" w:cs="Arial"/>
        </w:rPr>
        <w:t>VIV Suppression</w:t>
      </w:r>
      <w:r w:rsidRPr="00A161F9">
        <w:rPr>
          <w:rFonts w:ascii="Franklin Gothic Book" w:eastAsia="Times New Roman" w:hAnsi="Franklin Gothic Book" w:cs="Arial"/>
        </w:rPr>
        <w:t xml:space="preserve">. The MEA awards will be presented at the Offshore Technology Conference (OTC) in Houston, Texas. </w:t>
      </w:r>
    </w:p>
    <w:p w14:paraId="41CD2FA9" w14:textId="7E53B3B7" w:rsidR="00A161F9" w:rsidRDefault="00F235F4" w:rsidP="00A161F9">
      <w:pPr>
        <w:shd w:val="clear" w:color="auto" w:fill="FFFFFF"/>
        <w:spacing w:line="360" w:lineRule="auto"/>
        <w:jc w:val="both"/>
        <w:rPr>
          <w:rFonts w:ascii="Franklin Gothic Book" w:eastAsia="Times New Roman" w:hAnsi="Franklin Gothic Book" w:cs="Arial"/>
        </w:rPr>
      </w:pPr>
      <w:r w:rsidRPr="00F235F4">
        <w:rPr>
          <w:rFonts w:ascii="Franklin Gothic Book" w:eastAsia="Times New Roman" w:hAnsi="Franklin Gothic Book" w:cs="Arial"/>
        </w:rPr>
        <w:t>Antony Croston, Business Group Director with Trelleborg’s offshore operation in Houston</w:t>
      </w:r>
      <w:r w:rsidR="002A37C0">
        <w:rPr>
          <w:rFonts w:ascii="Franklin Gothic Book" w:eastAsia="Times New Roman" w:hAnsi="Franklin Gothic Book" w:cs="Arial"/>
        </w:rPr>
        <w:t>,</w:t>
      </w:r>
      <w:r w:rsidRPr="00F235F4">
        <w:rPr>
          <w:rFonts w:ascii="Franklin Gothic Book" w:eastAsia="Times New Roman" w:hAnsi="Franklin Gothic Book" w:cs="Arial"/>
        </w:rPr>
        <w:t xml:space="preserve"> says: </w:t>
      </w:r>
      <w:r w:rsidR="00A161F9" w:rsidRPr="00A161F9">
        <w:rPr>
          <w:rFonts w:ascii="Franklin Gothic Book" w:eastAsia="Times New Roman" w:hAnsi="Franklin Gothic Book" w:cs="Arial"/>
        </w:rPr>
        <w:t xml:space="preserve">"Since everyone involved in offshore oil &amp; gas production knows that MEA entries are judged on their game-changing significance, both technically and economically, we couldn't be </w:t>
      </w:r>
      <w:r w:rsidRPr="00A161F9">
        <w:rPr>
          <w:rFonts w:ascii="Franklin Gothic Book" w:eastAsia="Times New Roman" w:hAnsi="Franklin Gothic Book" w:cs="Arial"/>
        </w:rPr>
        <w:t>prouder</w:t>
      </w:r>
      <w:r w:rsidR="00A161F9" w:rsidRPr="00A161F9">
        <w:rPr>
          <w:rFonts w:ascii="Franklin Gothic Book" w:eastAsia="Times New Roman" w:hAnsi="Franklin Gothic Book" w:cs="Arial"/>
        </w:rPr>
        <w:t xml:space="preserve"> to have </w:t>
      </w:r>
      <w:r>
        <w:rPr>
          <w:rFonts w:ascii="Franklin Gothic Book" w:eastAsia="Times New Roman" w:hAnsi="Franklin Gothic Book" w:cs="Arial"/>
        </w:rPr>
        <w:t xml:space="preserve">our jointly developed technology </w:t>
      </w:r>
      <w:r w:rsidR="002A37C0">
        <w:rPr>
          <w:rFonts w:ascii="Franklin Gothic Book" w:eastAsia="Times New Roman" w:hAnsi="Franklin Gothic Book" w:cs="Arial"/>
        </w:rPr>
        <w:t>that is</w:t>
      </w:r>
      <w:r w:rsidR="00A161F9" w:rsidRPr="00A161F9">
        <w:rPr>
          <w:rFonts w:ascii="Franklin Gothic Book" w:eastAsia="Times New Roman" w:hAnsi="Franklin Gothic Book" w:cs="Arial"/>
        </w:rPr>
        <w:t xml:space="preserve"> acknowledged for </w:t>
      </w:r>
      <w:r w:rsidRPr="00F235F4">
        <w:rPr>
          <w:rFonts w:ascii="Franklin Gothic Book" w:eastAsia="Times New Roman" w:hAnsi="Franklin Gothic Book" w:cs="Arial"/>
        </w:rPr>
        <w:t>enhanc</w:t>
      </w:r>
      <w:r>
        <w:rPr>
          <w:rFonts w:ascii="Franklin Gothic Book" w:eastAsia="Times New Roman" w:hAnsi="Franklin Gothic Book" w:cs="Arial"/>
        </w:rPr>
        <w:t>ing</w:t>
      </w:r>
      <w:r w:rsidRPr="00F235F4">
        <w:rPr>
          <w:rFonts w:ascii="Franklin Gothic Book" w:eastAsia="Times New Roman" w:hAnsi="Franklin Gothic Book" w:cs="Arial"/>
        </w:rPr>
        <w:t xml:space="preserve"> performance </w:t>
      </w:r>
      <w:r>
        <w:rPr>
          <w:rFonts w:ascii="Franklin Gothic Book" w:eastAsia="Times New Roman" w:hAnsi="Franklin Gothic Book" w:cs="Arial"/>
        </w:rPr>
        <w:t>of</w:t>
      </w:r>
      <w:r w:rsidRPr="00F235F4">
        <w:rPr>
          <w:rFonts w:ascii="Franklin Gothic Book" w:eastAsia="Times New Roman" w:hAnsi="Franklin Gothic Book" w:cs="Arial"/>
        </w:rPr>
        <w:t xml:space="preserve"> drilling riser operations in high current conditions</w:t>
      </w:r>
      <w:r w:rsidR="00A161F9" w:rsidRPr="00A161F9">
        <w:rPr>
          <w:rFonts w:ascii="Franklin Gothic Book" w:eastAsia="Times New Roman" w:hAnsi="Franklin Gothic Book" w:cs="Arial"/>
        </w:rPr>
        <w:t xml:space="preserve">. </w:t>
      </w:r>
    </w:p>
    <w:p w14:paraId="3E48FC81" w14:textId="0B5B3E4B" w:rsidR="00F235F4" w:rsidRDefault="00F235F4" w:rsidP="00A161F9">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w:t>
      </w:r>
      <w:r w:rsidRPr="00F235F4">
        <w:rPr>
          <w:rFonts w:ascii="Franklin Gothic Book" w:eastAsia="Times New Roman" w:hAnsi="Franklin Gothic Book" w:cs="Arial"/>
        </w:rPr>
        <w:t xml:space="preserve">For many years, fairings have been accepted as the best technical solution for drag and VIV reduction on drilling risers. </w:t>
      </w:r>
      <w:r w:rsidR="007936E5">
        <w:rPr>
          <w:rFonts w:ascii="Franklin Gothic Book" w:eastAsia="Times New Roman" w:hAnsi="Franklin Gothic Book" w:cs="Arial"/>
        </w:rPr>
        <w:t>However, t</w:t>
      </w:r>
      <w:r w:rsidRPr="00F235F4">
        <w:rPr>
          <w:rFonts w:ascii="Franklin Gothic Book" w:eastAsia="Times New Roman" w:hAnsi="Franklin Gothic Book" w:cs="Arial"/>
        </w:rPr>
        <w:t xml:space="preserve">he use </w:t>
      </w:r>
      <w:r w:rsidR="007936E5">
        <w:rPr>
          <w:rFonts w:ascii="Franklin Gothic Book" w:eastAsia="Times New Roman" w:hAnsi="Franklin Gothic Book" w:cs="Arial"/>
        </w:rPr>
        <w:t xml:space="preserve">of fairings </w:t>
      </w:r>
      <w:r w:rsidRPr="00F235F4">
        <w:rPr>
          <w:rFonts w:ascii="Franklin Gothic Book" w:eastAsia="Times New Roman" w:hAnsi="Franklin Gothic Book" w:cs="Arial"/>
        </w:rPr>
        <w:t>come</w:t>
      </w:r>
      <w:r w:rsidR="007936E5">
        <w:rPr>
          <w:rFonts w:ascii="Franklin Gothic Book" w:eastAsia="Times New Roman" w:hAnsi="Franklin Gothic Book" w:cs="Arial"/>
        </w:rPr>
        <w:t>s</w:t>
      </w:r>
      <w:r w:rsidRPr="00F235F4">
        <w:rPr>
          <w:rFonts w:ascii="Franklin Gothic Book" w:eastAsia="Times New Roman" w:hAnsi="Franklin Gothic Book" w:cs="Arial"/>
        </w:rPr>
        <w:t xml:space="preserve"> with an operational penalty in the form of increased running and retrieval time, as well as handling issues, especially in harsh weather. We now have an integral concept</w:t>
      </w:r>
      <w:r w:rsidR="006264D5">
        <w:rPr>
          <w:rFonts w:ascii="Franklin Gothic Book" w:eastAsia="Times New Roman" w:hAnsi="Franklin Gothic Book" w:cs="Arial"/>
        </w:rPr>
        <w:t xml:space="preserve"> </w:t>
      </w:r>
      <w:r w:rsidR="007936E5" w:rsidRPr="007936E5">
        <w:rPr>
          <w:rFonts w:ascii="Franklin Gothic Book" w:eastAsia="Times New Roman" w:hAnsi="Franklin Gothic Book" w:cs="Arial"/>
        </w:rPr>
        <w:t xml:space="preserve">that </w:t>
      </w:r>
      <w:r w:rsidR="007936E5">
        <w:rPr>
          <w:rFonts w:ascii="Franklin Gothic Book" w:eastAsia="Times New Roman" w:hAnsi="Franklin Gothic Book" w:cs="Arial"/>
        </w:rPr>
        <w:t xml:space="preserve">not only </w:t>
      </w:r>
      <w:r w:rsidR="007936E5" w:rsidRPr="007936E5">
        <w:rPr>
          <w:rFonts w:ascii="Franklin Gothic Book" w:eastAsia="Times New Roman" w:hAnsi="Franklin Gothic Book" w:cs="Arial"/>
        </w:rPr>
        <w:t>provide</w:t>
      </w:r>
      <w:r w:rsidR="007936E5">
        <w:rPr>
          <w:rFonts w:ascii="Franklin Gothic Book" w:eastAsia="Times New Roman" w:hAnsi="Franklin Gothic Book" w:cs="Arial"/>
        </w:rPr>
        <w:t>s</w:t>
      </w:r>
      <w:r w:rsidR="007936E5" w:rsidRPr="007936E5">
        <w:rPr>
          <w:rFonts w:ascii="Franklin Gothic Book" w:eastAsia="Times New Roman" w:hAnsi="Franklin Gothic Book" w:cs="Arial"/>
        </w:rPr>
        <w:t xml:space="preserve"> critical uplift to marine </w:t>
      </w:r>
      <w:r w:rsidR="007936E5" w:rsidRPr="00633206">
        <w:rPr>
          <w:rFonts w:ascii="Franklin Gothic Book" w:eastAsia="Times New Roman" w:hAnsi="Franklin Gothic Book" w:cs="Arial"/>
          <w:noProof/>
        </w:rPr>
        <w:t>risers</w:t>
      </w:r>
      <w:r w:rsidR="007936E5" w:rsidRPr="007936E5">
        <w:rPr>
          <w:rFonts w:ascii="Franklin Gothic Book" w:eastAsia="Times New Roman" w:hAnsi="Franklin Gothic Book" w:cs="Arial"/>
        </w:rPr>
        <w:t xml:space="preserve"> </w:t>
      </w:r>
      <w:r w:rsidR="007936E5">
        <w:rPr>
          <w:rFonts w:ascii="Franklin Gothic Book" w:eastAsia="Times New Roman" w:hAnsi="Franklin Gothic Book" w:cs="Arial"/>
        </w:rPr>
        <w:t xml:space="preserve">but also </w:t>
      </w:r>
      <w:r w:rsidR="007936E5" w:rsidRPr="007936E5">
        <w:rPr>
          <w:rFonts w:ascii="Franklin Gothic Book" w:eastAsia="Times New Roman" w:hAnsi="Franklin Gothic Book" w:cs="Arial"/>
        </w:rPr>
        <w:t xml:space="preserve">significantly reduces drag and flow-induced motion. </w:t>
      </w:r>
      <w:r w:rsidR="007936E5">
        <w:rPr>
          <w:rFonts w:ascii="Franklin Gothic Book" w:eastAsia="Times New Roman" w:hAnsi="Franklin Gothic Book" w:cs="Arial"/>
        </w:rPr>
        <w:t>Recent v</w:t>
      </w:r>
      <w:r w:rsidR="007936E5" w:rsidRPr="007936E5">
        <w:rPr>
          <w:rFonts w:ascii="Franklin Gothic Book" w:eastAsia="Times New Roman" w:hAnsi="Franklin Gothic Book" w:cs="Arial"/>
        </w:rPr>
        <w:t xml:space="preserve">alidation test results indicate that the performance is equivalent to </w:t>
      </w:r>
      <w:r w:rsidR="007936E5" w:rsidRPr="00633206">
        <w:rPr>
          <w:rFonts w:ascii="Franklin Gothic Book" w:eastAsia="Times New Roman" w:hAnsi="Franklin Gothic Book" w:cs="Arial"/>
          <w:noProof/>
        </w:rPr>
        <w:t>fairings</w:t>
      </w:r>
      <w:r w:rsidR="007936E5" w:rsidRPr="007936E5">
        <w:rPr>
          <w:rFonts w:ascii="Franklin Gothic Book" w:eastAsia="Times New Roman" w:hAnsi="Franklin Gothic Book" w:cs="Arial"/>
        </w:rPr>
        <w:t xml:space="preserve"> but at a fraction of the total operational cost</w:t>
      </w:r>
      <w:r>
        <w:rPr>
          <w:rFonts w:ascii="Franklin Gothic Book" w:eastAsia="Times New Roman" w:hAnsi="Franklin Gothic Book" w:cs="Arial"/>
        </w:rPr>
        <w:t>.”</w:t>
      </w:r>
    </w:p>
    <w:p w14:paraId="1BD1D231" w14:textId="77777777" w:rsidR="006264D5" w:rsidRDefault="007936E5" w:rsidP="00A161F9">
      <w:pPr>
        <w:shd w:val="clear" w:color="auto" w:fill="FFFFFF"/>
        <w:spacing w:line="360" w:lineRule="auto"/>
        <w:jc w:val="both"/>
        <w:rPr>
          <w:rFonts w:ascii="Franklin Gothic Book" w:eastAsia="Times New Roman" w:hAnsi="Franklin Gothic Book" w:cs="Arial"/>
        </w:rPr>
      </w:pPr>
      <w:r w:rsidRPr="007936E5">
        <w:rPr>
          <w:rFonts w:ascii="Franklin Gothic Book" w:eastAsia="Times New Roman" w:hAnsi="Franklin Gothic Book" w:cs="Arial"/>
        </w:rPr>
        <w:t xml:space="preserve">Helically grooved buoyancy is the result of a joint development between Trelleborg Offshore and Diamond Offshore Drilling to integrate vortex-induced vibration (VIV) suppression and drag reduction with drill riser buoyancy, increasing rig efficiency without compromising on safety or structural integrity. </w:t>
      </w:r>
      <w:r w:rsidR="006264D5">
        <w:rPr>
          <w:rFonts w:ascii="Franklin Gothic Book" w:eastAsia="Times New Roman" w:hAnsi="Franklin Gothic Book" w:cs="Arial"/>
        </w:rPr>
        <w:t>The</w:t>
      </w:r>
      <w:r w:rsidRPr="007936E5">
        <w:rPr>
          <w:rFonts w:ascii="Franklin Gothic Book" w:eastAsia="Times New Roman" w:hAnsi="Franklin Gothic Book" w:cs="Arial"/>
        </w:rPr>
        <w:t xml:space="preserve"> design dimensions are optimized to ensure uncompromised uplift while effectively eliminating riser motions and higher levels of drag in onerous offshore current environments compared to traditional riser buoyancy. The new multi-functional solution integrates the technology to suppress VIV and reduce drag into DRBM equipment during manufacturing, essentially eliminating the requirement </w:t>
      </w:r>
      <w:r w:rsidRPr="007936E5">
        <w:rPr>
          <w:rFonts w:ascii="Franklin Gothic Book" w:eastAsia="Times New Roman" w:hAnsi="Franklin Gothic Book" w:cs="Arial"/>
        </w:rPr>
        <w:lastRenderedPageBreak/>
        <w:t>of ancillary suppression equipment, alleviating complicated and time intensive riser running and retrieval procedures.</w:t>
      </w:r>
    </w:p>
    <w:p w14:paraId="384A3231" w14:textId="76C8E9E1" w:rsidR="00A161F9" w:rsidRPr="00A161F9" w:rsidRDefault="00A161F9" w:rsidP="00A161F9">
      <w:pPr>
        <w:shd w:val="clear" w:color="auto" w:fill="FFFFFF"/>
        <w:spacing w:line="360" w:lineRule="auto"/>
        <w:jc w:val="both"/>
        <w:rPr>
          <w:rFonts w:ascii="Franklin Gothic Book" w:eastAsia="Times New Roman" w:hAnsi="Franklin Gothic Book" w:cs="Arial"/>
        </w:rPr>
      </w:pPr>
      <w:r w:rsidRPr="00A161F9">
        <w:rPr>
          <w:rFonts w:ascii="Franklin Gothic Book" w:eastAsia="Times New Roman" w:hAnsi="Franklin Gothic Book" w:cs="Arial"/>
        </w:rPr>
        <w:t>An independent team of experts, including engineers and engineering managers from operating and consulting companies worldwide, judged the competition. The winners come from a varied range of disciplines in oil &amp; gas exploration and production, solving many of the issues that posed barriers to efficient operations. Technological advances of the winners open new and better avenues to the critical challenges the industry faces.</w:t>
      </w:r>
    </w:p>
    <w:p w14:paraId="20C0520D" w14:textId="77777777" w:rsidR="00824711" w:rsidRPr="006F5952" w:rsidRDefault="00824711" w:rsidP="00534B2A">
      <w:pPr>
        <w:spacing w:after="120" w:line="360" w:lineRule="auto"/>
        <w:jc w:val="center"/>
        <w:rPr>
          <w:rFonts w:ascii="Franklin Gothic Book" w:hAnsi="Franklin Gothic Book" w:cs="Arial"/>
          <w:b/>
          <w:sz w:val="24"/>
          <w:szCs w:val="24"/>
        </w:rPr>
      </w:pPr>
      <w:r w:rsidRPr="006F5952">
        <w:rPr>
          <w:rFonts w:ascii="Franklin Gothic Book" w:hAnsi="Franklin Gothic Book" w:cs="Arial"/>
          <w:b/>
          <w:sz w:val="24"/>
          <w:szCs w:val="24"/>
        </w:rPr>
        <w:t>~ENDS~</w:t>
      </w:r>
    </w:p>
    <w:p w14:paraId="0D18767F" w14:textId="77777777" w:rsidR="00824711" w:rsidRPr="006F5952" w:rsidRDefault="00824711" w:rsidP="006264D5">
      <w:pPr>
        <w:spacing w:after="0" w:line="240" w:lineRule="auto"/>
        <w:ind w:left="-144"/>
        <w:rPr>
          <w:rFonts w:ascii="Franklin Gothic Book" w:hAnsi="Franklin Gothic Book" w:cs="Arial"/>
          <w:bCs/>
          <w:sz w:val="20"/>
          <w:szCs w:val="20"/>
        </w:rPr>
      </w:pPr>
      <w:r w:rsidRPr="006F5952">
        <w:rPr>
          <w:rFonts w:ascii="Franklin Gothic Book" w:hAnsi="Franklin Gothic Book" w:cs="Arial"/>
          <w:b/>
          <w:sz w:val="20"/>
          <w:szCs w:val="20"/>
        </w:rPr>
        <w:t>For press information:</w:t>
      </w:r>
      <w:r w:rsidRPr="006F5952">
        <w:rPr>
          <w:rFonts w:ascii="Franklin Gothic Book" w:hAnsi="Franklin Gothic Book" w:cs="Arial"/>
          <w:sz w:val="20"/>
          <w:szCs w:val="20"/>
        </w:rPr>
        <w:t xml:space="preserve">  </w:t>
      </w:r>
    </w:p>
    <w:p w14:paraId="0D020ABC" w14:textId="77777777" w:rsidR="00AB417F" w:rsidRPr="006F5952" w:rsidRDefault="00AB417F" w:rsidP="006264D5">
      <w:pPr>
        <w:autoSpaceDE w:val="0"/>
        <w:autoSpaceDN w:val="0"/>
        <w:adjustRightInd w:val="0"/>
        <w:spacing w:after="0" w:line="240" w:lineRule="auto"/>
        <w:ind w:left="-142"/>
        <w:rPr>
          <w:rFonts w:ascii="Franklin Gothic Book" w:hAnsi="Franklin Gothic Book" w:cs="Arial"/>
          <w:sz w:val="20"/>
          <w:szCs w:val="20"/>
        </w:rPr>
      </w:pPr>
      <w:r w:rsidRPr="006F5952">
        <w:rPr>
          <w:rFonts w:ascii="Franklin Gothic Book" w:hAnsi="Franklin Gothic Book" w:cs="Arial"/>
          <w:iCs/>
          <w:sz w:val="20"/>
          <w:szCs w:val="20"/>
        </w:rPr>
        <w:t xml:space="preserve">For additional information on Trelleborg’s offshore operation, please contact Ruth Clay, </w:t>
      </w:r>
      <w:r w:rsidRPr="006F5952">
        <w:rPr>
          <w:rFonts w:ascii="Franklin Gothic Book" w:hAnsi="Franklin Gothic Book" w:cs="Arial"/>
          <w:sz w:val="20"/>
          <w:szCs w:val="20"/>
        </w:rPr>
        <w:t xml:space="preserve">Mobile: +1 281 740 5755; </w:t>
      </w:r>
      <w:hyperlink r:id="rId10" w:history="1">
        <w:r w:rsidRPr="006F5952">
          <w:rPr>
            <w:rStyle w:val="Hyperlink"/>
            <w:rFonts w:ascii="Franklin Gothic Book" w:hAnsi="Franklin Gothic Book" w:cs="Arial"/>
            <w:color w:val="auto"/>
            <w:sz w:val="20"/>
            <w:szCs w:val="20"/>
          </w:rPr>
          <w:t>ruth.clay@trelleborg.com</w:t>
        </w:r>
      </w:hyperlink>
      <w:r w:rsidRPr="006F5952">
        <w:rPr>
          <w:rFonts w:ascii="Franklin Gothic Book" w:hAnsi="Franklin Gothic Book" w:cs="Arial"/>
          <w:sz w:val="20"/>
          <w:szCs w:val="20"/>
        </w:rPr>
        <w:t xml:space="preserve">. </w:t>
      </w:r>
    </w:p>
    <w:p w14:paraId="54DFA640" w14:textId="77777777" w:rsidR="00824711" w:rsidRPr="006F5952" w:rsidRDefault="00824711" w:rsidP="006264D5">
      <w:pPr>
        <w:spacing w:after="0" w:line="240" w:lineRule="auto"/>
        <w:ind w:left="-142"/>
        <w:rPr>
          <w:rFonts w:ascii="Franklin Gothic Book" w:hAnsi="Franklin Gothic Book" w:cs="Arial"/>
          <w:sz w:val="20"/>
          <w:szCs w:val="20"/>
          <w:lang w:val="en-GB"/>
        </w:rPr>
      </w:pPr>
      <w:r w:rsidRPr="006F5952">
        <w:rPr>
          <w:rFonts w:ascii="Franklin Gothic Book" w:hAnsi="Franklin Gothic Book" w:cs="Arial"/>
          <w:b/>
          <w:iCs/>
          <w:sz w:val="20"/>
          <w:szCs w:val="20"/>
          <w:lang w:val="en-GB"/>
        </w:rPr>
        <w:t xml:space="preserve">Notes to Editors: </w:t>
      </w:r>
    </w:p>
    <w:p w14:paraId="40D7617A" w14:textId="77777777" w:rsidR="006264D5" w:rsidRPr="006264D5" w:rsidRDefault="006264D5" w:rsidP="006264D5">
      <w:pPr>
        <w:spacing w:after="0" w:line="240" w:lineRule="auto"/>
        <w:ind w:left="-142"/>
        <w:rPr>
          <w:rFonts w:ascii="Franklin Gothic Book" w:hAnsi="Franklin Gothic Book" w:cs="Arial"/>
          <w:iCs/>
          <w:sz w:val="20"/>
          <w:szCs w:val="20"/>
          <w:lang w:val="en-GB"/>
        </w:rPr>
      </w:pPr>
      <w:r w:rsidRPr="006264D5">
        <w:rPr>
          <w:rFonts w:ascii="Franklin Gothic Book" w:hAnsi="Franklin Gothic Book" w:cs="Arial"/>
          <w:iCs/>
          <w:sz w:val="20"/>
          <w:szCs w:val="20"/>
          <w:lang w:val="en-GB"/>
        </w:rPr>
        <w:t>About Diamond Offshore</w:t>
      </w:r>
    </w:p>
    <w:p w14:paraId="21C366E1" w14:textId="77777777" w:rsidR="006264D5" w:rsidRPr="006264D5" w:rsidRDefault="006264D5" w:rsidP="006264D5">
      <w:pPr>
        <w:spacing w:after="0" w:line="240" w:lineRule="auto"/>
        <w:ind w:left="-142"/>
        <w:rPr>
          <w:rFonts w:ascii="Franklin Gothic Book" w:hAnsi="Franklin Gothic Book" w:cs="Arial"/>
          <w:iCs/>
          <w:sz w:val="20"/>
          <w:szCs w:val="20"/>
          <w:lang w:val="en-GB"/>
        </w:rPr>
      </w:pPr>
      <w:r w:rsidRPr="006264D5">
        <w:rPr>
          <w:rFonts w:ascii="Franklin Gothic Book" w:hAnsi="Franklin Gothic Book" w:cs="Arial"/>
          <w:iCs/>
          <w:sz w:val="20"/>
          <w:szCs w:val="20"/>
          <w:lang w:val="en-GB"/>
        </w:rPr>
        <w:t>Diamond Offshore is a leader in offshore drilling, providing contract drilling services to the energy industry around the globe. Additional information and access to the Company’s SEC filings are available at www.diamondoffshore.com. Diamond Offshore is owned 53% by Loews Corporation (NYSE: L).</w:t>
      </w:r>
    </w:p>
    <w:p w14:paraId="604E8C3F" w14:textId="77777777" w:rsidR="006264D5" w:rsidRPr="006264D5" w:rsidRDefault="006264D5" w:rsidP="006264D5">
      <w:pPr>
        <w:spacing w:after="0" w:line="240" w:lineRule="auto"/>
        <w:ind w:left="-142"/>
        <w:rPr>
          <w:rFonts w:ascii="Franklin Gothic Book" w:hAnsi="Franklin Gothic Book" w:cs="Arial"/>
          <w:b/>
          <w:iCs/>
          <w:sz w:val="20"/>
          <w:szCs w:val="20"/>
          <w:lang w:val="en-GB"/>
        </w:rPr>
      </w:pPr>
      <w:r w:rsidRPr="006264D5">
        <w:rPr>
          <w:rFonts w:ascii="Franklin Gothic Book" w:hAnsi="Franklin Gothic Book" w:cs="Arial"/>
          <w:b/>
          <w:iCs/>
          <w:sz w:val="20"/>
          <w:szCs w:val="20"/>
          <w:lang w:val="en-GB"/>
        </w:rPr>
        <w:t>Trelleborg’s offshore operation and Trelleborg Group</w:t>
      </w:r>
    </w:p>
    <w:p w14:paraId="7A5EB620" w14:textId="1E6C03A9" w:rsidR="006264D5" w:rsidRDefault="006264D5" w:rsidP="006264D5">
      <w:pPr>
        <w:spacing w:after="0" w:line="240" w:lineRule="auto"/>
        <w:ind w:left="-142"/>
        <w:rPr>
          <w:rFonts w:ascii="Franklin Gothic Book" w:hAnsi="Franklin Gothic Book" w:cs="Arial"/>
          <w:iCs/>
          <w:sz w:val="20"/>
          <w:szCs w:val="20"/>
          <w:lang w:val="en-GB"/>
        </w:rPr>
      </w:pPr>
      <w:r w:rsidRPr="006264D5">
        <w:rPr>
          <w:rFonts w:ascii="Franklin Gothic Book" w:hAnsi="Franklin Gothic Book" w:cs="Arial"/>
          <w:iCs/>
          <w:sz w:val="20"/>
          <w:szCs w:val="20"/>
          <w:lang w:val="en-GB"/>
        </w:rPr>
        <w:t xml:space="preserve">Using advanced polymer material technology, Trelleborg’s offshore operation provides high integrity solutions for the harshest and most demanding offshore environments. As part of the Trelleborg Offshore &amp; Construction Business Area of Trelleborg Group, Trelleborg’s offshore operation specializes in the development and production of polymer and syntactic </w:t>
      </w:r>
      <w:r w:rsidRPr="00633206">
        <w:rPr>
          <w:rFonts w:ascii="Franklin Gothic Book" w:hAnsi="Franklin Gothic Book" w:cs="Arial"/>
          <w:iCs/>
          <w:noProof/>
          <w:sz w:val="20"/>
          <w:szCs w:val="20"/>
          <w:lang w:val="en-GB"/>
        </w:rPr>
        <w:t>foam based</w:t>
      </w:r>
      <w:r w:rsidRPr="006264D5">
        <w:rPr>
          <w:rFonts w:ascii="Franklin Gothic Book" w:hAnsi="Franklin Gothic Book" w:cs="Arial"/>
          <w:iCs/>
          <w:sz w:val="20"/>
          <w:szCs w:val="20"/>
          <w:lang w:val="en-GB"/>
        </w:rPr>
        <w:t xml:space="preserve"> seismic, marine, buoyancy, cable protection and thermal insulation products, as well as rubber-based passive and active fire protection solutions for the offshore industry. Within its portfolio are some long established and respected brands including, CRP, OCP, Viking and Emerson &amp; </w:t>
      </w:r>
      <w:proofErr w:type="spellStart"/>
      <w:r w:rsidRPr="006264D5">
        <w:rPr>
          <w:rFonts w:ascii="Franklin Gothic Book" w:hAnsi="Franklin Gothic Book" w:cs="Arial"/>
          <w:iCs/>
          <w:sz w:val="20"/>
          <w:szCs w:val="20"/>
          <w:lang w:val="en-GB"/>
        </w:rPr>
        <w:t>Cuming</w:t>
      </w:r>
      <w:proofErr w:type="spellEnd"/>
      <w:r w:rsidRPr="006264D5">
        <w:rPr>
          <w:rFonts w:ascii="Franklin Gothic Book" w:hAnsi="Franklin Gothic Book" w:cs="Arial"/>
          <w:iCs/>
          <w:sz w:val="20"/>
          <w:szCs w:val="20"/>
          <w:lang w:val="en-GB"/>
        </w:rPr>
        <w:t xml:space="preserve">. Trelleborg’s offshore operation has been providing innovative solutions to the industry for over 30 years. </w:t>
      </w:r>
      <w:hyperlink r:id="rId11" w:history="1">
        <w:r w:rsidRPr="00583200">
          <w:rPr>
            <w:rStyle w:val="Hyperlink"/>
            <w:rFonts w:ascii="Franklin Gothic Book" w:hAnsi="Franklin Gothic Book" w:cs="Arial"/>
            <w:iCs/>
            <w:sz w:val="20"/>
            <w:szCs w:val="20"/>
            <w:lang w:val="en-GB"/>
          </w:rPr>
          <w:t>www.trelleborg.com/offshore</w:t>
        </w:r>
      </w:hyperlink>
    </w:p>
    <w:p w14:paraId="63D6B37F" w14:textId="676A76DC" w:rsidR="00824711" w:rsidRPr="006264D5" w:rsidRDefault="00196CF2" w:rsidP="006264D5">
      <w:pPr>
        <w:spacing w:after="0" w:line="240" w:lineRule="auto"/>
        <w:ind w:left="-142"/>
        <w:rPr>
          <w:rFonts w:ascii="Franklin Gothic Book" w:eastAsiaTheme="minorEastAsia" w:hAnsi="Franklin Gothic Book" w:cs="Arial"/>
          <w:sz w:val="20"/>
          <w:szCs w:val="20"/>
          <w:lang w:val="en-GB" w:eastAsia="zh-TW" w:bidi="th-TH"/>
        </w:rPr>
      </w:pPr>
      <w:r w:rsidRPr="00196CF2">
        <w:rPr>
          <w:rFonts w:ascii="Franklin Gothic Book" w:hAnsi="Franklin Gothic Book" w:cs="Arial"/>
          <w:b/>
          <w:bCs/>
          <w:iCs/>
          <w:sz w:val="20"/>
          <w:szCs w:val="20"/>
        </w:rPr>
        <w:t xml:space="preserve">Trelleborg </w:t>
      </w:r>
      <w:r w:rsidRPr="00196CF2">
        <w:rPr>
          <w:rFonts w:ascii="Franklin Gothic Book" w:hAnsi="Franklin Gothic Book" w:cs="Arial"/>
          <w:bCs/>
          <w:iCs/>
          <w:sz w:val="20"/>
          <w:szCs w:val="20"/>
        </w:rPr>
        <w:t>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824711" w:rsidRPr="006264D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9628" w14:textId="77777777" w:rsidR="006F329F" w:rsidRDefault="006F329F" w:rsidP="00062857">
      <w:pPr>
        <w:spacing w:after="0" w:line="240" w:lineRule="auto"/>
      </w:pPr>
      <w:r>
        <w:separator/>
      </w:r>
    </w:p>
  </w:endnote>
  <w:endnote w:type="continuationSeparator" w:id="0">
    <w:p w14:paraId="50051A77" w14:textId="77777777" w:rsidR="006F329F" w:rsidRDefault="006F329F"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C875" w14:textId="77777777" w:rsidR="006F329F" w:rsidRDefault="006F329F" w:rsidP="00062857">
      <w:pPr>
        <w:spacing w:after="0" w:line="240" w:lineRule="auto"/>
      </w:pPr>
      <w:r>
        <w:separator/>
      </w:r>
    </w:p>
  </w:footnote>
  <w:footnote w:type="continuationSeparator" w:id="0">
    <w:p w14:paraId="0B401DE6" w14:textId="77777777" w:rsidR="006F329F" w:rsidRDefault="006F329F"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F605" w14:textId="77777777" w:rsidR="00D942EE" w:rsidRDefault="00D942EE" w:rsidP="00D942EE">
    <w:pPr>
      <w:pStyle w:val="Header"/>
      <w:jc w:val="center"/>
    </w:pPr>
    <w:r>
      <w:rPr>
        <w:noProof/>
      </w:rPr>
      <w:drawing>
        <wp:inline distT="0" distB="0" distL="0" distR="0" wp14:anchorId="48B2FE28" wp14:editId="15CD2E7C">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6B45D8C8"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xNDM3tTA1trSwNLdU0lEKTi0uzszPAykwtKwFAFD+f6MtAAAA"/>
  </w:docVars>
  <w:rsids>
    <w:rsidRoot w:val="0056288C"/>
    <w:rsid w:val="000000F6"/>
    <w:rsid w:val="00002024"/>
    <w:rsid w:val="000031A8"/>
    <w:rsid w:val="00003877"/>
    <w:rsid w:val="00010B0E"/>
    <w:rsid w:val="000164E1"/>
    <w:rsid w:val="000164FE"/>
    <w:rsid w:val="00053A48"/>
    <w:rsid w:val="00062857"/>
    <w:rsid w:val="00067CBE"/>
    <w:rsid w:val="00073F85"/>
    <w:rsid w:val="00074FDC"/>
    <w:rsid w:val="0008059F"/>
    <w:rsid w:val="00095DCC"/>
    <w:rsid w:val="00097990"/>
    <w:rsid w:val="000A71F8"/>
    <w:rsid w:val="000C464B"/>
    <w:rsid w:val="000D7D6A"/>
    <w:rsid w:val="00103F54"/>
    <w:rsid w:val="00104203"/>
    <w:rsid w:val="00112153"/>
    <w:rsid w:val="00121F58"/>
    <w:rsid w:val="00126EB7"/>
    <w:rsid w:val="00137E26"/>
    <w:rsid w:val="00145316"/>
    <w:rsid w:val="001455F3"/>
    <w:rsid w:val="00196CF2"/>
    <w:rsid w:val="001A7B0B"/>
    <w:rsid w:val="001B3AD0"/>
    <w:rsid w:val="001B4492"/>
    <w:rsid w:val="001C58F2"/>
    <w:rsid w:val="001E2678"/>
    <w:rsid w:val="001F599D"/>
    <w:rsid w:val="00211ACE"/>
    <w:rsid w:val="00213A4D"/>
    <w:rsid w:val="0022634A"/>
    <w:rsid w:val="00245C7F"/>
    <w:rsid w:val="00256527"/>
    <w:rsid w:val="00262BA7"/>
    <w:rsid w:val="00266DA8"/>
    <w:rsid w:val="00283ED5"/>
    <w:rsid w:val="00297459"/>
    <w:rsid w:val="002978A3"/>
    <w:rsid w:val="002A0BA4"/>
    <w:rsid w:val="002A37C0"/>
    <w:rsid w:val="002B639C"/>
    <w:rsid w:val="002D3150"/>
    <w:rsid w:val="002D39BB"/>
    <w:rsid w:val="002F1F53"/>
    <w:rsid w:val="002F620F"/>
    <w:rsid w:val="00306BC9"/>
    <w:rsid w:val="00310F99"/>
    <w:rsid w:val="003407F3"/>
    <w:rsid w:val="00355ABE"/>
    <w:rsid w:val="0037296A"/>
    <w:rsid w:val="003751EF"/>
    <w:rsid w:val="00397FC8"/>
    <w:rsid w:val="003A6FF3"/>
    <w:rsid w:val="003B24C0"/>
    <w:rsid w:val="003B308B"/>
    <w:rsid w:val="003E07F2"/>
    <w:rsid w:val="003E53A7"/>
    <w:rsid w:val="003E5963"/>
    <w:rsid w:val="00416233"/>
    <w:rsid w:val="00425751"/>
    <w:rsid w:val="0042787A"/>
    <w:rsid w:val="00442D3A"/>
    <w:rsid w:val="00447895"/>
    <w:rsid w:val="004516FD"/>
    <w:rsid w:val="00456595"/>
    <w:rsid w:val="00460BFE"/>
    <w:rsid w:val="004853FB"/>
    <w:rsid w:val="00494FDA"/>
    <w:rsid w:val="004A1972"/>
    <w:rsid w:val="004A7215"/>
    <w:rsid w:val="004C1455"/>
    <w:rsid w:val="004D57D5"/>
    <w:rsid w:val="00533048"/>
    <w:rsid w:val="00534B2A"/>
    <w:rsid w:val="00542C9A"/>
    <w:rsid w:val="0056288C"/>
    <w:rsid w:val="005738B2"/>
    <w:rsid w:val="00583AC2"/>
    <w:rsid w:val="005853DB"/>
    <w:rsid w:val="005A4536"/>
    <w:rsid w:val="005A51F5"/>
    <w:rsid w:val="005B121C"/>
    <w:rsid w:val="005C324C"/>
    <w:rsid w:val="005C466D"/>
    <w:rsid w:val="005C6E70"/>
    <w:rsid w:val="005F1FAE"/>
    <w:rsid w:val="00615723"/>
    <w:rsid w:val="0061733A"/>
    <w:rsid w:val="00617B14"/>
    <w:rsid w:val="006264D5"/>
    <w:rsid w:val="00633206"/>
    <w:rsid w:val="006365B0"/>
    <w:rsid w:val="00644075"/>
    <w:rsid w:val="0065032E"/>
    <w:rsid w:val="00653299"/>
    <w:rsid w:val="00654756"/>
    <w:rsid w:val="00665B11"/>
    <w:rsid w:val="0067080A"/>
    <w:rsid w:val="006A3C24"/>
    <w:rsid w:val="006B458E"/>
    <w:rsid w:val="006B5655"/>
    <w:rsid w:val="006E3415"/>
    <w:rsid w:val="006F06E7"/>
    <w:rsid w:val="006F329F"/>
    <w:rsid w:val="006F46D1"/>
    <w:rsid w:val="006F5952"/>
    <w:rsid w:val="006F791D"/>
    <w:rsid w:val="00751BEF"/>
    <w:rsid w:val="00753C85"/>
    <w:rsid w:val="007554FD"/>
    <w:rsid w:val="00756DCA"/>
    <w:rsid w:val="0077589B"/>
    <w:rsid w:val="00777913"/>
    <w:rsid w:val="00783751"/>
    <w:rsid w:val="007936E5"/>
    <w:rsid w:val="007A060F"/>
    <w:rsid w:val="007A10F4"/>
    <w:rsid w:val="007A5039"/>
    <w:rsid w:val="007B2884"/>
    <w:rsid w:val="007D65B3"/>
    <w:rsid w:val="00810B50"/>
    <w:rsid w:val="0081346F"/>
    <w:rsid w:val="00824711"/>
    <w:rsid w:val="00827D5D"/>
    <w:rsid w:val="00832A0B"/>
    <w:rsid w:val="008354C3"/>
    <w:rsid w:val="00840033"/>
    <w:rsid w:val="00853BEE"/>
    <w:rsid w:val="008627EE"/>
    <w:rsid w:val="0088002F"/>
    <w:rsid w:val="00883950"/>
    <w:rsid w:val="008A3E9B"/>
    <w:rsid w:val="008A6777"/>
    <w:rsid w:val="008B3DEE"/>
    <w:rsid w:val="008C3C92"/>
    <w:rsid w:val="008D2778"/>
    <w:rsid w:val="008E007C"/>
    <w:rsid w:val="008F177E"/>
    <w:rsid w:val="008F4C63"/>
    <w:rsid w:val="009069E7"/>
    <w:rsid w:val="00921332"/>
    <w:rsid w:val="009236E5"/>
    <w:rsid w:val="0093222F"/>
    <w:rsid w:val="00937329"/>
    <w:rsid w:val="009463CB"/>
    <w:rsid w:val="009513E1"/>
    <w:rsid w:val="00962BBB"/>
    <w:rsid w:val="00967EBC"/>
    <w:rsid w:val="00971878"/>
    <w:rsid w:val="00972493"/>
    <w:rsid w:val="009735FF"/>
    <w:rsid w:val="00975793"/>
    <w:rsid w:val="009831DB"/>
    <w:rsid w:val="009A380F"/>
    <w:rsid w:val="009A502F"/>
    <w:rsid w:val="009A6F23"/>
    <w:rsid w:val="009B4908"/>
    <w:rsid w:val="009B5757"/>
    <w:rsid w:val="009B6090"/>
    <w:rsid w:val="009C5A97"/>
    <w:rsid w:val="009C7C15"/>
    <w:rsid w:val="009D637C"/>
    <w:rsid w:val="009F1718"/>
    <w:rsid w:val="009F302E"/>
    <w:rsid w:val="00A071AC"/>
    <w:rsid w:val="00A161F9"/>
    <w:rsid w:val="00A16ACC"/>
    <w:rsid w:val="00A2780D"/>
    <w:rsid w:val="00A34477"/>
    <w:rsid w:val="00A362AA"/>
    <w:rsid w:val="00A40B43"/>
    <w:rsid w:val="00A4726C"/>
    <w:rsid w:val="00A61CD1"/>
    <w:rsid w:val="00A762EB"/>
    <w:rsid w:val="00A85BB2"/>
    <w:rsid w:val="00A964B9"/>
    <w:rsid w:val="00AA68B0"/>
    <w:rsid w:val="00AA7559"/>
    <w:rsid w:val="00AB17D4"/>
    <w:rsid w:val="00AB417F"/>
    <w:rsid w:val="00AC13CE"/>
    <w:rsid w:val="00AC5846"/>
    <w:rsid w:val="00AE23C9"/>
    <w:rsid w:val="00AF4B80"/>
    <w:rsid w:val="00AF667A"/>
    <w:rsid w:val="00B069AB"/>
    <w:rsid w:val="00B177B6"/>
    <w:rsid w:val="00B26390"/>
    <w:rsid w:val="00B30674"/>
    <w:rsid w:val="00B411C7"/>
    <w:rsid w:val="00B47366"/>
    <w:rsid w:val="00B5168A"/>
    <w:rsid w:val="00BA5C00"/>
    <w:rsid w:val="00BB011E"/>
    <w:rsid w:val="00BB09AE"/>
    <w:rsid w:val="00BB37CF"/>
    <w:rsid w:val="00BE70F7"/>
    <w:rsid w:val="00BF3DE7"/>
    <w:rsid w:val="00C12D34"/>
    <w:rsid w:val="00C21EB6"/>
    <w:rsid w:val="00C42533"/>
    <w:rsid w:val="00C45770"/>
    <w:rsid w:val="00C52A8C"/>
    <w:rsid w:val="00C571F1"/>
    <w:rsid w:val="00C610ED"/>
    <w:rsid w:val="00C64D34"/>
    <w:rsid w:val="00C71F26"/>
    <w:rsid w:val="00C82D8E"/>
    <w:rsid w:val="00C83521"/>
    <w:rsid w:val="00C84092"/>
    <w:rsid w:val="00C869DB"/>
    <w:rsid w:val="00C87261"/>
    <w:rsid w:val="00C9686E"/>
    <w:rsid w:val="00CA4223"/>
    <w:rsid w:val="00CA4291"/>
    <w:rsid w:val="00CA7BC7"/>
    <w:rsid w:val="00CB3BAF"/>
    <w:rsid w:val="00CB4CCB"/>
    <w:rsid w:val="00CC257C"/>
    <w:rsid w:val="00CC3BB6"/>
    <w:rsid w:val="00CD32D4"/>
    <w:rsid w:val="00CD6C43"/>
    <w:rsid w:val="00CE42A6"/>
    <w:rsid w:val="00CE4C45"/>
    <w:rsid w:val="00D00418"/>
    <w:rsid w:val="00D00BAB"/>
    <w:rsid w:val="00D026F6"/>
    <w:rsid w:val="00D20F73"/>
    <w:rsid w:val="00D40C1A"/>
    <w:rsid w:val="00D41ABE"/>
    <w:rsid w:val="00D628E6"/>
    <w:rsid w:val="00D67F5D"/>
    <w:rsid w:val="00D74420"/>
    <w:rsid w:val="00D9004B"/>
    <w:rsid w:val="00D942EE"/>
    <w:rsid w:val="00D970D3"/>
    <w:rsid w:val="00DA67ED"/>
    <w:rsid w:val="00DA7074"/>
    <w:rsid w:val="00DB4768"/>
    <w:rsid w:val="00DB5243"/>
    <w:rsid w:val="00DC5248"/>
    <w:rsid w:val="00DD708E"/>
    <w:rsid w:val="00DE08F4"/>
    <w:rsid w:val="00DE0EA5"/>
    <w:rsid w:val="00E06998"/>
    <w:rsid w:val="00E14015"/>
    <w:rsid w:val="00E26607"/>
    <w:rsid w:val="00E34DF4"/>
    <w:rsid w:val="00E35FD4"/>
    <w:rsid w:val="00E52891"/>
    <w:rsid w:val="00E5510C"/>
    <w:rsid w:val="00E55E2D"/>
    <w:rsid w:val="00E85687"/>
    <w:rsid w:val="00E971C5"/>
    <w:rsid w:val="00EC02B4"/>
    <w:rsid w:val="00EC52CA"/>
    <w:rsid w:val="00EC5648"/>
    <w:rsid w:val="00ED2EE0"/>
    <w:rsid w:val="00ED4B5E"/>
    <w:rsid w:val="00EE35F8"/>
    <w:rsid w:val="00F1213A"/>
    <w:rsid w:val="00F15337"/>
    <w:rsid w:val="00F21326"/>
    <w:rsid w:val="00F235F4"/>
    <w:rsid w:val="00F35FD3"/>
    <w:rsid w:val="00F37454"/>
    <w:rsid w:val="00F4756E"/>
    <w:rsid w:val="00F52600"/>
    <w:rsid w:val="00F53CAE"/>
    <w:rsid w:val="00F65C34"/>
    <w:rsid w:val="00F66313"/>
    <w:rsid w:val="00F8143F"/>
    <w:rsid w:val="00FA0EDB"/>
    <w:rsid w:val="00FB39EB"/>
    <w:rsid w:val="00FC1BB4"/>
    <w:rsid w:val="00FD0AE9"/>
    <w:rsid w:val="00FD3B3C"/>
    <w:rsid w:val="00F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76F6"/>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customStyle="1" w:styleId="Heading2Char">
    <w:name w:val="Heading 2 Char"/>
    <w:basedOn w:val="DefaultParagraphFont"/>
    <w:link w:val="Heading2"/>
    <w:uiPriority w:val="9"/>
    <w:rsid w:val="00CB3BAF"/>
    <w:rPr>
      <w:rFonts w:ascii="Times New Roman" w:eastAsia="Times New Roman" w:hAnsi="Times New Roman" w:cs="Times New Roman"/>
      <w:b/>
      <w:bCs/>
      <w:sz w:val="36"/>
      <w:szCs w:val="36"/>
    </w:rPr>
  </w:style>
  <w:style w:type="paragraph" w:customStyle="1" w:styleId="general-article-date">
    <w:name w:val="general-article-date"/>
    <w:basedOn w:val="Normal"/>
    <w:rsid w:val="00CB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AF"/>
    <w:rPr>
      <w:b/>
      <w:bCs/>
    </w:rPr>
  </w:style>
  <w:style w:type="character" w:styleId="Emphasis">
    <w:name w:val="Emphasis"/>
    <w:basedOn w:val="DefaultParagraphFont"/>
    <w:uiPriority w:val="20"/>
    <w:qFormat/>
    <w:rsid w:val="00CB3BAF"/>
    <w:rPr>
      <w:i/>
      <w:iCs/>
    </w:rPr>
  </w:style>
  <w:style w:type="paragraph" w:styleId="PlainText">
    <w:name w:val="Plain Text"/>
    <w:basedOn w:val="Normal"/>
    <w:link w:val="PlainTextChar"/>
    <w:uiPriority w:val="99"/>
    <w:semiHidden/>
    <w:unhideWhenUsed/>
    <w:rsid w:val="00F213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1326"/>
    <w:rPr>
      <w:rFonts w:ascii="Consolas" w:hAnsi="Consolas" w:cs="Consolas"/>
      <w:sz w:val="21"/>
      <w:szCs w:val="21"/>
    </w:rPr>
  </w:style>
  <w:style w:type="character" w:customStyle="1" w:styleId="UnresolvedMention1">
    <w:name w:val="Unresolved Mention1"/>
    <w:basedOn w:val="DefaultParagraphFont"/>
    <w:uiPriority w:val="99"/>
    <w:semiHidden/>
    <w:unhideWhenUsed/>
    <w:rsid w:val="00626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18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122846427">
      <w:bodyDiv w:val="1"/>
      <w:marLeft w:val="0"/>
      <w:marRight w:val="0"/>
      <w:marTop w:val="0"/>
      <w:marBottom w:val="0"/>
      <w:divBdr>
        <w:top w:val="none" w:sz="0" w:space="0" w:color="auto"/>
        <w:left w:val="none" w:sz="0" w:space="0" w:color="auto"/>
        <w:bottom w:val="none" w:sz="0" w:space="0" w:color="auto"/>
        <w:right w:val="none" w:sz="0" w:space="0" w:color="auto"/>
      </w:divBdr>
      <w:divsChild>
        <w:div w:id="878973758">
          <w:marLeft w:val="0"/>
          <w:marRight w:val="0"/>
          <w:marTop w:val="0"/>
          <w:marBottom w:val="0"/>
          <w:divBdr>
            <w:top w:val="none" w:sz="0" w:space="0" w:color="auto"/>
            <w:left w:val="none" w:sz="0" w:space="0" w:color="auto"/>
            <w:bottom w:val="none" w:sz="0" w:space="0" w:color="auto"/>
            <w:right w:val="none" w:sz="0" w:space="0" w:color="auto"/>
          </w:divBdr>
        </w:div>
      </w:divsChild>
    </w:div>
    <w:div w:id="1124077027">
      <w:bodyDiv w:val="1"/>
      <w:marLeft w:val="0"/>
      <w:marRight w:val="0"/>
      <w:marTop w:val="0"/>
      <w:marBottom w:val="0"/>
      <w:divBdr>
        <w:top w:val="none" w:sz="0" w:space="0" w:color="auto"/>
        <w:left w:val="none" w:sz="0" w:space="0" w:color="auto"/>
        <w:bottom w:val="none" w:sz="0" w:space="0" w:color="auto"/>
        <w:right w:val="none" w:sz="0" w:space="0" w:color="auto"/>
      </w:divBdr>
    </w:div>
    <w:div w:id="1161122692">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62862855">
      <w:bodyDiv w:val="1"/>
      <w:marLeft w:val="0"/>
      <w:marRight w:val="0"/>
      <w:marTop w:val="0"/>
      <w:marBottom w:val="0"/>
      <w:divBdr>
        <w:top w:val="none" w:sz="0" w:space="0" w:color="auto"/>
        <w:left w:val="none" w:sz="0" w:space="0" w:color="auto"/>
        <w:bottom w:val="none" w:sz="0" w:space="0" w:color="auto"/>
        <w:right w:val="none" w:sz="0" w:space="0" w:color="auto"/>
      </w:divBdr>
    </w:div>
    <w:div w:id="1581212635">
      <w:bodyDiv w:val="1"/>
      <w:marLeft w:val="0"/>
      <w:marRight w:val="0"/>
      <w:marTop w:val="0"/>
      <w:marBottom w:val="0"/>
      <w:divBdr>
        <w:top w:val="none" w:sz="0" w:space="0" w:color="auto"/>
        <w:left w:val="none" w:sz="0" w:space="0" w:color="auto"/>
        <w:bottom w:val="none" w:sz="0" w:space="0" w:color="auto"/>
        <w:right w:val="none" w:sz="0" w:space="0" w:color="auto"/>
      </w:divBdr>
    </w:div>
    <w:div w:id="2115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lleborg.com/offshore" TargetMode="External"/><Relationship Id="rId5" Type="http://schemas.openxmlformats.org/officeDocument/2006/relationships/styles" Target="styles.xml"/><Relationship Id="rId10" Type="http://schemas.openxmlformats.org/officeDocument/2006/relationships/hyperlink" Target="mailto:ruth.clay@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3.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CDAA5D-7023-4E6E-BAFA-EE6B4A01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2</cp:revision>
  <cp:lastPrinted>2018-03-21T12:30:00Z</cp:lastPrinted>
  <dcterms:created xsi:type="dcterms:W3CDTF">2018-04-24T13:44:00Z</dcterms:created>
  <dcterms:modified xsi:type="dcterms:W3CDTF">2018-04-24T13:44:00Z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