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90" w:rsidRPr="00B34097" w:rsidRDefault="0006449A" w:rsidP="00F018F0">
      <w:pPr>
        <w:spacing w:line="360" w:lineRule="auto"/>
        <w:rPr>
          <w:rFonts w:cs="Arial"/>
          <w:b/>
          <w:szCs w:val="20"/>
        </w:rPr>
      </w:pPr>
      <w:r>
        <w:rPr>
          <w:rFonts w:cs="Arial"/>
          <w:b/>
          <w:noProof/>
          <w:lang w:val="en-GB" w:eastAsia="en-GB"/>
        </w:rPr>
        <w:drawing>
          <wp:anchor distT="0" distB="0" distL="114300" distR="114300" simplePos="0" relativeHeight="251657728" behindDoc="1" locked="0" layoutInCell="1" allowOverlap="1">
            <wp:simplePos x="0" y="0"/>
            <wp:positionH relativeFrom="column">
              <wp:posOffset>2047875</wp:posOffset>
            </wp:positionH>
            <wp:positionV relativeFrom="paragraph">
              <wp:posOffset>-609600</wp:posOffset>
            </wp:positionV>
            <wp:extent cx="1447800" cy="609600"/>
            <wp:effectExtent l="19050" t="0" r="0" b="0"/>
            <wp:wrapTight wrapText="bothSides">
              <wp:wrapPolygon edited="0">
                <wp:start x="-284" y="0"/>
                <wp:lineTo x="-284" y="20925"/>
                <wp:lineTo x="21600" y="20925"/>
                <wp:lineTo x="21600" y="0"/>
                <wp:lineTo x="-284" y="0"/>
              </wp:wrapPolygon>
            </wp:wrapTight>
            <wp:docPr id="3" name="Picture 1" descr="Trelleb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 Logo"/>
                    <pic:cNvPicPr>
                      <a:picLocks noChangeAspect="1" noChangeArrowheads="1"/>
                    </pic:cNvPicPr>
                  </pic:nvPicPr>
                  <pic:blipFill>
                    <a:blip r:embed="rId9" cstate="print"/>
                    <a:srcRect/>
                    <a:stretch>
                      <a:fillRect/>
                    </a:stretch>
                  </pic:blipFill>
                  <pic:spPr bwMode="auto">
                    <a:xfrm>
                      <a:off x="0" y="0"/>
                      <a:ext cx="1447800" cy="609600"/>
                    </a:xfrm>
                    <a:prstGeom prst="rect">
                      <a:avLst/>
                    </a:prstGeom>
                    <a:noFill/>
                  </pic:spPr>
                </pic:pic>
              </a:graphicData>
            </a:graphic>
          </wp:anchor>
        </w:drawing>
      </w:r>
    </w:p>
    <w:p w:rsidR="00876C0F" w:rsidRPr="00876C0F" w:rsidRDefault="00876C0F" w:rsidP="00876C0F">
      <w:pPr>
        <w:spacing w:line="360" w:lineRule="auto"/>
        <w:rPr>
          <w:rFonts w:ascii="Arial" w:eastAsia="Calibri" w:hAnsi="Arial" w:cs="Arial"/>
          <w:b/>
          <w:bCs/>
          <w:sz w:val="22"/>
          <w:szCs w:val="22"/>
        </w:rPr>
      </w:pPr>
      <w:r w:rsidRPr="00876C0F">
        <w:rPr>
          <w:rFonts w:ascii="Arial" w:eastAsia="Calibri" w:hAnsi="Arial" w:cs="Arial"/>
          <w:b/>
          <w:bCs/>
          <w:sz w:val="22"/>
          <w:szCs w:val="22"/>
        </w:rPr>
        <w:t xml:space="preserve">Offshore Technology Conference </w:t>
      </w:r>
    </w:p>
    <w:p w:rsidR="00876C0F" w:rsidRPr="00876C0F" w:rsidRDefault="00DB5922" w:rsidP="00876C0F">
      <w:pPr>
        <w:spacing w:line="360" w:lineRule="auto"/>
        <w:rPr>
          <w:rFonts w:ascii="Arial" w:eastAsia="Calibri" w:hAnsi="Arial" w:cs="Arial"/>
          <w:bCs/>
          <w:sz w:val="22"/>
          <w:szCs w:val="22"/>
        </w:rPr>
      </w:pPr>
      <w:r w:rsidRPr="009F32B1">
        <w:rPr>
          <w:rFonts w:ascii="Arial" w:eastAsia="Calibri" w:hAnsi="Arial" w:cs="Arial"/>
          <w:bCs/>
          <w:sz w:val="22"/>
          <w:szCs w:val="22"/>
        </w:rPr>
        <w:t>NRG</w:t>
      </w:r>
      <w:r w:rsidR="009F32B1">
        <w:rPr>
          <w:rFonts w:ascii="Arial" w:eastAsia="Calibri" w:hAnsi="Arial" w:cs="Arial"/>
          <w:bCs/>
          <w:sz w:val="22"/>
          <w:szCs w:val="22"/>
        </w:rPr>
        <w:t xml:space="preserve"> Park</w:t>
      </w:r>
      <w:r w:rsidR="00876C0F" w:rsidRPr="00876C0F">
        <w:rPr>
          <w:rFonts w:ascii="Arial" w:eastAsia="Calibri" w:hAnsi="Arial" w:cs="Arial"/>
          <w:bCs/>
          <w:sz w:val="22"/>
          <w:szCs w:val="22"/>
        </w:rPr>
        <w:t>, Houston</w:t>
      </w:r>
    </w:p>
    <w:p w:rsidR="00876C0F" w:rsidRPr="00876C0F" w:rsidRDefault="00876C0F" w:rsidP="00876C0F">
      <w:pPr>
        <w:spacing w:line="360" w:lineRule="auto"/>
        <w:rPr>
          <w:rFonts w:ascii="Arial" w:eastAsia="Calibri" w:hAnsi="Arial" w:cs="Arial"/>
          <w:bCs/>
          <w:sz w:val="22"/>
          <w:szCs w:val="22"/>
        </w:rPr>
      </w:pPr>
      <w:r w:rsidRPr="00876C0F">
        <w:rPr>
          <w:rFonts w:ascii="Arial" w:eastAsia="Calibri" w:hAnsi="Arial" w:cs="Arial"/>
          <w:bCs/>
          <w:sz w:val="22"/>
          <w:szCs w:val="22"/>
        </w:rPr>
        <w:t xml:space="preserve">May </w:t>
      </w:r>
      <w:r>
        <w:rPr>
          <w:rFonts w:ascii="Arial" w:eastAsia="Calibri" w:hAnsi="Arial" w:cs="Arial"/>
          <w:bCs/>
          <w:sz w:val="22"/>
          <w:szCs w:val="22"/>
        </w:rPr>
        <w:t>4</w:t>
      </w:r>
      <w:r w:rsidRPr="00876C0F">
        <w:rPr>
          <w:rFonts w:ascii="Arial" w:eastAsia="Calibri" w:hAnsi="Arial" w:cs="Arial"/>
          <w:bCs/>
          <w:sz w:val="22"/>
          <w:szCs w:val="22"/>
        </w:rPr>
        <w:t xml:space="preserve"> to </w:t>
      </w:r>
      <w:r>
        <w:rPr>
          <w:rFonts w:ascii="Arial" w:eastAsia="Calibri" w:hAnsi="Arial" w:cs="Arial"/>
          <w:bCs/>
          <w:sz w:val="22"/>
          <w:szCs w:val="22"/>
        </w:rPr>
        <w:t>7</w:t>
      </w:r>
      <w:r w:rsidRPr="00876C0F">
        <w:rPr>
          <w:rFonts w:ascii="Arial" w:eastAsia="Calibri" w:hAnsi="Arial" w:cs="Arial"/>
          <w:bCs/>
          <w:sz w:val="22"/>
          <w:szCs w:val="22"/>
        </w:rPr>
        <w:t>, 201</w:t>
      </w:r>
      <w:r>
        <w:rPr>
          <w:rFonts w:ascii="Arial" w:eastAsia="Calibri" w:hAnsi="Arial" w:cs="Arial"/>
          <w:bCs/>
          <w:sz w:val="22"/>
          <w:szCs w:val="22"/>
        </w:rPr>
        <w:t>5</w:t>
      </w:r>
    </w:p>
    <w:p w:rsidR="00876C0F" w:rsidRDefault="00876C0F" w:rsidP="00876C0F">
      <w:pPr>
        <w:spacing w:line="360" w:lineRule="auto"/>
        <w:rPr>
          <w:rFonts w:ascii="Arial" w:eastAsia="Calibri" w:hAnsi="Arial" w:cs="Arial"/>
          <w:b/>
          <w:sz w:val="22"/>
          <w:szCs w:val="21"/>
        </w:rPr>
      </w:pPr>
      <w:r w:rsidRPr="00876C0F">
        <w:rPr>
          <w:rFonts w:ascii="Arial" w:eastAsia="Calibri" w:hAnsi="Arial" w:cs="Arial"/>
          <w:bCs/>
          <w:sz w:val="22"/>
          <w:szCs w:val="22"/>
        </w:rPr>
        <w:t>Stand Number: Hall A, 5541</w:t>
      </w:r>
      <w:r w:rsidRPr="00876C0F">
        <w:rPr>
          <w:rFonts w:ascii="Arial" w:eastAsia="Calibri" w:hAnsi="Arial" w:cs="Arial"/>
          <w:bCs/>
          <w:sz w:val="24"/>
          <w:szCs w:val="22"/>
        </w:rPr>
        <w:tab/>
      </w:r>
      <w:r w:rsidRPr="00876C0F">
        <w:rPr>
          <w:rFonts w:ascii="Arial" w:eastAsia="Calibri" w:hAnsi="Arial" w:cs="Arial"/>
          <w:bCs/>
          <w:sz w:val="24"/>
          <w:szCs w:val="22"/>
        </w:rPr>
        <w:tab/>
      </w:r>
      <w:r w:rsidRPr="00876C0F">
        <w:rPr>
          <w:rFonts w:ascii="Arial" w:eastAsia="Calibri" w:hAnsi="Arial" w:cs="Arial"/>
          <w:bCs/>
          <w:sz w:val="24"/>
          <w:szCs w:val="22"/>
        </w:rPr>
        <w:tab/>
      </w:r>
      <w:r w:rsidRPr="00876C0F">
        <w:rPr>
          <w:rFonts w:ascii="Arial" w:eastAsia="Calibri" w:hAnsi="Arial" w:cs="Arial"/>
          <w:bCs/>
          <w:sz w:val="24"/>
          <w:szCs w:val="22"/>
        </w:rPr>
        <w:tab/>
      </w:r>
      <w:r w:rsidRPr="00876C0F">
        <w:rPr>
          <w:rFonts w:ascii="Arial" w:eastAsia="Calibri" w:hAnsi="Arial" w:cs="Arial"/>
          <w:bCs/>
          <w:sz w:val="24"/>
          <w:szCs w:val="22"/>
        </w:rPr>
        <w:tab/>
      </w:r>
      <w:r w:rsidRPr="00876C0F">
        <w:rPr>
          <w:rFonts w:ascii="Arial" w:eastAsia="Calibri" w:hAnsi="Arial" w:cs="Arial"/>
          <w:bCs/>
          <w:sz w:val="24"/>
          <w:szCs w:val="22"/>
        </w:rPr>
        <w:tab/>
      </w:r>
      <w:r w:rsidRPr="00876C0F">
        <w:rPr>
          <w:rFonts w:ascii="Arial" w:eastAsia="Calibri" w:hAnsi="Arial" w:cs="Arial"/>
          <w:bCs/>
          <w:sz w:val="24"/>
          <w:szCs w:val="22"/>
        </w:rPr>
        <w:tab/>
      </w:r>
      <w:r w:rsidRPr="00876C0F">
        <w:rPr>
          <w:rFonts w:ascii="Arial" w:eastAsia="Calibri" w:hAnsi="Arial" w:cs="Arial"/>
          <w:bCs/>
          <w:sz w:val="24"/>
          <w:szCs w:val="22"/>
        </w:rPr>
        <w:tab/>
        <w:t xml:space="preserve">          </w:t>
      </w:r>
    </w:p>
    <w:p w:rsidR="00876C0F" w:rsidRPr="00876C0F" w:rsidRDefault="00876C0F" w:rsidP="00876C0F">
      <w:pPr>
        <w:spacing w:line="360" w:lineRule="auto"/>
        <w:rPr>
          <w:rFonts w:ascii="Arial" w:eastAsia="Calibri" w:hAnsi="Arial" w:cs="Arial"/>
          <w:b/>
          <w:sz w:val="22"/>
          <w:szCs w:val="21"/>
        </w:rPr>
      </w:pPr>
    </w:p>
    <w:p w:rsidR="005220FD" w:rsidRDefault="005072F3" w:rsidP="005220FD">
      <w:pPr>
        <w:spacing w:line="360" w:lineRule="auto"/>
        <w:jc w:val="center"/>
        <w:rPr>
          <w:rFonts w:ascii="Arial" w:hAnsi="Arial" w:cs="Arial"/>
          <w:b/>
          <w:sz w:val="22"/>
          <w:szCs w:val="22"/>
          <w:lang w:eastAsia="en-GB"/>
        </w:rPr>
      </w:pPr>
      <w:r>
        <w:rPr>
          <w:rFonts w:ascii="Arial" w:hAnsi="Arial" w:cs="Arial"/>
          <w:b/>
          <w:sz w:val="22"/>
          <w:szCs w:val="22"/>
          <w:lang w:eastAsia="en-GB"/>
        </w:rPr>
        <w:t>T</w:t>
      </w:r>
      <w:r w:rsidRPr="00876C0F">
        <w:rPr>
          <w:rFonts w:ascii="Arial" w:hAnsi="Arial" w:cs="Arial"/>
          <w:b/>
          <w:sz w:val="22"/>
          <w:szCs w:val="22"/>
          <w:lang w:eastAsia="en-GB"/>
        </w:rPr>
        <w:t xml:space="preserve">relleborg </w:t>
      </w:r>
      <w:r w:rsidR="006647D7">
        <w:rPr>
          <w:rFonts w:ascii="Arial" w:hAnsi="Arial" w:cs="Arial"/>
          <w:b/>
          <w:sz w:val="22"/>
          <w:szCs w:val="22"/>
          <w:lang w:eastAsia="en-GB"/>
        </w:rPr>
        <w:t>P</w:t>
      </w:r>
      <w:r w:rsidR="006647D7" w:rsidRPr="00876C0F">
        <w:rPr>
          <w:rFonts w:ascii="Arial" w:hAnsi="Arial" w:cs="Arial"/>
          <w:b/>
          <w:sz w:val="22"/>
          <w:szCs w:val="22"/>
          <w:lang w:eastAsia="en-GB"/>
        </w:rPr>
        <w:t xml:space="preserve">resents </w:t>
      </w:r>
      <w:r w:rsidR="006647D7">
        <w:rPr>
          <w:rFonts w:ascii="Arial" w:hAnsi="Arial" w:cs="Arial"/>
          <w:b/>
          <w:sz w:val="22"/>
          <w:szCs w:val="22"/>
          <w:lang w:eastAsia="en-GB"/>
        </w:rPr>
        <w:t>Innovations</w:t>
      </w:r>
      <w:r w:rsidRPr="00876C0F">
        <w:rPr>
          <w:rFonts w:ascii="Arial" w:hAnsi="Arial" w:cs="Arial"/>
          <w:b/>
          <w:sz w:val="22"/>
          <w:szCs w:val="22"/>
          <w:lang w:eastAsia="en-GB"/>
        </w:rPr>
        <w:t xml:space="preserve"> </w:t>
      </w:r>
      <w:r w:rsidR="006647D7">
        <w:rPr>
          <w:rFonts w:ascii="Arial" w:hAnsi="Arial" w:cs="Arial"/>
          <w:b/>
          <w:sz w:val="22"/>
          <w:szCs w:val="22"/>
          <w:lang w:eastAsia="en-GB"/>
        </w:rPr>
        <w:t>that Lower Total O</w:t>
      </w:r>
      <w:r w:rsidR="006647D7" w:rsidRPr="00876C0F">
        <w:rPr>
          <w:rFonts w:ascii="Arial" w:hAnsi="Arial" w:cs="Arial"/>
          <w:b/>
          <w:sz w:val="22"/>
          <w:szCs w:val="22"/>
          <w:lang w:eastAsia="en-GB"/>
        </w:rPr>
        <w:t xml:space="preserve">perator </w:t>
      </w:r>
      <w:r w:rsidR="006647D7">
        <w:rPr>
          <w:rFonts w:ascii="Arial" w:hAnsi="Arial" w:cs="Arial"/>
          <w:b/>
          <w:sz w:val="22"/>
          <w:szCs w:val="22"/>
          <w:lang w:eastAsia="en-GB"/>
        </w:rPr>
        <w:t>Costs</w:t>
      </w:r>
      <w:r w:rsidR="006647D7" w:rsidRPr="00876C0F">
        <w:rPr>
          <w:rFonts w:ascii="Arial" w:hAnsi="Arial" w:cs="Arial"/>
          <w:b/>
          <w:sz w:val="22"/>
          <w:szCs w:val="22"/>
          <w:lang w:eastAsia="en-GB"/>
        </w:rPr>
        <w:t xml:space="preserve"> </w:t>
      </w:r>
      <w:r w:rsidRPr="00876C0F">
        <w:rPr>
          <w:rFonts w:ascii="Arial" w:hAnsi="Arial" w:cs="Arial"/>
          <w:b/>
          <w:sz w:val="22"/>
          <w:szCs w:val="22"/>
          <w:lang w:eastAsia="en-GB"/>
        </w:rPr>
        <w:t xml:space="preserve">at </w:t>
      </w:r>
      <w:r>
        <w:rPr>
          <w:rFonts w:ascii="Arial" w:hAnsi="Arial" w:cs="Arial"/>
          <w:b/>
          <w:sz w:val="22"/>
          <w:szCs w:val="22"/>
          <w:lang w:eastAsia="en-GB"/>
        </w:rPr>
        <w:t>OTC</w:t>
      </w:r>
      <w:r w:rsidRPr="00876C0F">
        <w:rPr>
          <w:rFonts w:ascii="Arial" w:hAnsi="Arial" w:cs="Arial"/>
          <w:b/>
          <w:sz w:val="22"/>
          <w:szCs w:val="22"/>
          <w:lang w:eastAsia="en-GB"/>
        </w:rPr>
        <w:t xml:space="preserve"> 2015</w:t>
      </w:r>
    </w:p>
    <w:p w:rsidR="00876C0F" w:rsidRPr="00EC3FE4" w:rsidRDefault="00876C0F" w:rsidP="005220FD">
      <w:pPr>
        <w:spacing w:line="360" w:lineRule="auto"/>
        <w:jc w:val="center"/>
        <w:rPr>
          <w:rFonts w:ascii="Arial" w:hAnsi="Arial" w:cs="Arial"/>
          <w:b/>
          <w:sz w:val="22"/>
          <w:szCs w:val="22"/>
        </w:rPr>
      </w:pPr>
    </w:p>
    <w:p w:rsidR="006647D7" w:rsidRDefault="003D7C5D" w:rsidP="004F5869">
      <w:pPr>
        <w:spacing w:line="360" w:lineRule="auto"/>
        <w:jc w:val="both"/>
        <w:rPr>
          <w:rFonts w:ascii="Arial" w:hAnsi="Arial" w:cs="Arial"/>
          <w:sz w:val="22"/>
          <w:szCs w:val="22"/>
        </w:rPr>
      </w:pPr>
      <w:r w:rsidRPr="00795825">
        <w:rPr>
          <w:rFonts w:ascii="Arial" w:hAnsi="Arial" w:cs="Arial"/>
          <w:sz w:val="22"/>
          <w:szCs w:val="22"/>
        </w:rPr>
        <w:t>In January</w:t>
      </w:r>
      <w:r w:rsidR="008C1AF6">
        <w:rPr>
          <w:rFonts w:ascii="Arial" w:hAnsi="Arial" w:cs="Arial"/>
          <w:sz w:val="22"/>
          <w:szCs w:val="22"/>
        </w:rPr>
        <w:t xml:space="preserve"> 2015</w:t>
      </w:r>
      <w:r w:rsidRPr="00795825">
        <w:rPr>
          <w:rFonts w:ascii="Arial" w:hAnsi="Arial" w:cs="Arial"/>
          <w:sz w:val="22"/>
          <w:szCs w:val="22"/>
        </w:rPr>
        <w:t xml:space="preserve">, oil prices </w:t>
      </w:r>
      <w:r w:rsidR="008C1AF6">
        <w:rPr>
          <w:rFonts w:ascii="Arial" w:hAnsi="Arial" w:cs="Arial"/>
          <w:sz w:val="22"/>
          <w:szCs w:val="22"/>
        </w:rPr>
        <w:t xml:space="preserve">plummeted </w:t>
      </w:r>
      <w:r w:rsidRPr="00795825">
        <w:rPr>
          <w:rFonts w:ascii="Arial" w:hAnsi="Arial" w:cs="Arial"/>
          <w:sz w:val="22"/>
          <w:szCs w:val="22"/>
        </w:rPr>
        <w:t>to a</w:t>
      </w:r>
      <w:r w:rsidR="008C1AF6">
        <w:rPr>
          <w:rFonts w:ascii="Arial" w:hAnsi="Arial" w:cs="Arial"/>
          <w:sz w:val="22"/>
          <w:szCs w:val="22"/>
        </w:rPr>
        <w:t>n all-time low of $46 over the past</w:t>
      </w:r>
      <w:r w:rsidRPr="00795825">
        <w:rPr>
          <w:rFonts w:ascii="Arial" w:hAnsi="Arial" w:cs="Arial"/>
          <w:sz w:val="22"/>
          <w:szCs w:val="22"/>
        </w:rPr>
        <w:t xml:space="preserve"> five-and-a-half year</w:t>
      </w:r>
      <w:r w:rsidR="008C1AF6">
        <w:rPr>
          <w:rFonts w:ascii="Arial" w:hAnsi="Arial" w:cs="Arial"/>
          <w:sz w:val="22"/>
          <w:szCs w:val="22"/>
        </w:rPr>
        <w:t>s</w:t>
      </w:r>
      <w:r w:rsidRPr="00795825">
        <w:rPr>
          <w:rFonts w:ascii="Arial" w:hAnsi="Arial" w:cs="Arial"/>
          <w:sz w:val="22"/>
          <w:szCs w:val="22"/>
        </w:rPr>
        <w:t>*</w:t>
      </w:r>
      <w:r w:rsidR="00E676F6">
        <w:rPr>
          <w:rFonts w:ascii="Arial" w:hAnsi="Arial" w:cs="Arial"/>
          <w:sz w:val="22"/>
          <w:szCs w:val="22"/>
        </w:rPr>
        <w:t>.</w:t>
      </w:r>
      <w:r w:rsidRPr="00795825">
        <w:rPr>
          <w:rFonts w:ascii="Arial" w:hAnsi="Arial" w:cs="Arial"/>
          <w:sz w:val="22"/>
          <w:szCs w:val="22"/>
        </w:rPr>
        <w:t xml:space="preserve"> </w:t>
      </w:r>
      <w:r w:rsidR="008C1AF6">
        <w:rPr>
          <w:rFonts w:ascii="Arial" w:hAnsi="Arial" w:cs="Arial"/>
          <w:sz w:val="22"/>
          <w:szCs w:val="22"/>
        </w:rPr>
        <w:t>This drop</w:t>
      </w:r>
      <w:r w:rsidRPr="00795825">
        <w:rPr>
          <w:rFonts w:ascii="Arial" w:hAnsi="Arial" w:cs="Arial"/>
          <w:sz w:val="22"/>
          <w:szCs w:val="22"/>
        </w:rPr>
        <w:t xml:space="preserve"> </w:t>
      </w:r>
      <w:r w:rsidR="008C1AF6">
        <w:rPr>
          <w:rFonts w:ascii="Arial" w:hAnsi="Arial" w:cs="Arial"/>
          <w:sz w:val="22"/>
          <w:szCs w:val="22"/>
        </w:rPr>
        <w:t xml:space="preserve">triggered </w:t>
      </w:r>
      <w:r w:rsidRPr="00795825">
        <w:rPr>
          <w:rFonts w:ascii="Arial" w:hAnsi="Arial" w:cs="Arial"/>
          <w:sz w:val="22"/>
          <w:szCs w:val="22"/>
        </w:rPr>
        <w:t>the industry to quickly re-evalu</w:t>
      </w:r>
      <w:r w:rsidR="008172BC" w:rsidRPr="00795825">
        <w:rPr>
          <w:rFonts w:ascii="Arial" w:hAnsi="Arial" w:cs="Arial"/>
          <w:sz w:val="22"/>
          <w:szCs w:val="22"/>
        </w:rPr>
        <w:t>ate its processes and budgets</w:t>
      </w:r>
      <w:r w:rsidR="00A5211C">
        <w:rPr>
          <w:rFonts w:ascii="Arial" w:hAnsi="Arial" w:cs="Arial"/>
          <w:sz w:val="22"/>
          <w:szCs w:val="22"/>
        </w:rPr>
        <w:t>, redirect</w:t>
      </w:r>
      <w:r w:rsidR="00033055">
        <w:rPr>
          <w:rFonts w:ascii="Arial" w:hAnsi="Arial" w:cs="Arial"/>
          <w:sz w:val="22"/>
          <w:szCs w:val="22"/>
        </w:rPr>
        <w:t>ing</w:t>
      </w:r>
      <w:r w:rsidR="00A5211C">
        <w:rPr>
          <w:rFonts w:ascii="Arial" w:hAnsi="Arial" w:cs="Arial"/>
          <w:sz w:val="22"/>
          <w:szCs w:val="22"/>
        </w:rPr>
        <w:t xml:space="preserve"> its primary focus to </w:t>
      </w:r>
      <w:r w:rsidR="00D13DED">
        <w:rPr>
          <w:rFonts w:ascii="Arial" w:hAnsi="Arial" w:cs="Arial"/>
          <w:sz w:val="22"/>
          <w:szCs w:val="22"/>
        </w:rPr>
        <w:t>c</w:t>
      </w:r>
      <w:r w:rsidR="00D13DED" w:rsidRPr="00795825">
        <w:rPr>
          <w:rFonts w:ascii="Arial" w:hAnsi="Arial" w:cs="Arial"/>
          <w:sz w:val="22"/>
          <w:szCs w:val="22"/>
        </w:rPr>
        <w:t xml:space="preserve">utting costs, adding value and increasing efficiency. </w:t>
      </w:r>
      <w:bookmarkStart w:id="0" w:name="_GoBack"/>
      <w:r w:rsidR="006647D7">
        <w:rPr>
          <w:rFonts w:ascii="Arial" w:hAnsi="Arial" w:cs="Arial"/>
          <w:sz w:val="22"/>
          <w:szCs w:val="22"/>
        </w:rPr>
        <w:t>Trelleborg continually monitors industry trends and according to its market analysis</w:t>
      </w:r>
      <w:r w:rsidR="00486B78">
        <w:rPr>
          <w:rFonts w:ascii="Arial" w:hAnsi="Arial" w:cs="Arial"/>
          <w:sz w:val="22"/>
          <w:szCs w:val="22"/>
        </w:rPr>
        <w:t>,</w:t>
      </w:r>
      <w:r w:rsidR="006647D7">
        <w:rPr>
          <w:rFonts w:ascii="Arial" w:hAnsi="Arial" w:cs="Arial"/>
          <w:sz w:val="22"/>
          <w:szCs w:val="22"/>
        </w:rPr>
        <w:t xml:space="preserve"> similar trends in oil prices occur approximately every five to seven years.</w:t>
      </w:r>
      <w:r w:rsidR="004E108A">
        <w:rPr>
          <w:rFonts w:ascii="Arial" w:hAnsi="Arial" w:cs="Arial"/>
          <w:sz w:val="22"/>
          <w:szCs w:val="22"/>
        </w:rPr>
        <w:t xml:space="preserve"> </w:t>
      </w:r>
      <w:r w:rsidR="00033055">
        <w:rPr>
          <w:rFonts w:ascii="Arial" w:hAnsi="Arial" w:cs="Arial"/>
          <w:sz w:val="22"/>
          <w:szCs w:val="22"/>
        </w:rPr>
        <w:t>Based on i</w:t>
      </w:r>
      <w:r w:rsidR="001E6B93">
        <w:rPr>
          <w:rFonts w:ascii="Arial" w:hAnsi="Arial" w:cs="Arial"/>
          <w:sz w:val="22"/>
          <w:szCs w:val="22"/>
        </w:rPr>
        <w:t xml:space="preserve">nvolvement </w:t>
      </w:r>
      <w:r w:rsidR="004E108A">
        <w:rPr>
          <w:rFonts w:ascii="Arial" w:hAnsi="Arial" w:cs="Arial"/>
          <w:sz w:val="22"/>
          <w:szCs w:val="22"/>
        </w:rPr>
        <w:t xml:space="preserve">in </w:t>
      </w:r>
      <w:r w:rsidR="001E6B93">
        <w:rPr>
          <w:rFonts w:ascii="Arial" w:hAnsi="Arial" w:cs="Arial"/>
          <w:sz w:val="22"/>
          <w:szCs w:val="22"/>
        </w:rPr>
        <w:t xml:space="preserve">past </w:t>
      </w:r>
      <w:r w:rsidR="004E108A">
        <w:rPr>
          <w:rFonts w:ascii="Arial" w:hAnsi="Arial" w:cs="Arial"/>
          <w:sz w:val="22"/>
          <w:szCs w:val="22"/>
        </w:rPr>
        <w:t>projects</w:t>
      </w:r>
      <w:r w:rsidR="00033055">
        <w:rPr>
          <w:rFonts w:ascii="Arial" w:hAnsi="Arial" w:cs="Arial"/>
          <w:sz w:val="22"/>
          <w:szCs w:val="22"/>
        </w:rPr>
        <w:t xml:space="preserve"> when oil prices have been low, Trelleborg</w:t>
      </w:r>
      <w:r w:rsidR="001E6B93">
        <w:rPr>
          <w:rFonts w:ascii="Arial" w:hAnsi="Arial" w:cs="Arial"/>
          <w:sz w:val="22"/>
          <w:szCs w:val="22"/>
        </w:rPr>
        <w:t xml:space="preserve"> </w:t>
      </w:r>
      <w:r w:rsidR="004E108A">
        <w:rPr>
          <w:rFonts w:ascii="Arial" w:hAnsi="Arial" w:cs="Arial"/>
          <w:sz w:val="22"/>
          <w:szCs w:val="22"/>
        </w:rPr>
        <w:t>emphasize</w:t>
      </w:r>
      <w:r w:rsidR="00033055">
        <w:rPr>
          <w:rFonts w:ascii="Arial" w:hAnsi="Arial" w:cs="Arial"/>
          <w:sz w:val="22"/>
          <w:szCs w:val="22"/>
        </w:rPr>
        <w:t>s</w:t>
      </w:r>
      <w:r w:rsidR="004E108A">
        <w:rPr>
          <w:rFonts w:ascii="Arial" w:hAnsi="Arial" w:cs="Arial"/>
          <w:sz w:val="22"/>
          <w:szCs w:val="22"/>
        </w:rPr>
        <w:t xml:space="preserve"> </w:t>
      </w:r>
      <w:r w:rsidR="001E6B93">
        <w:rPr>
          <w:rFonts w:ascii="Arial" w:hAnsi="Arial" w:cs="Arial"/>
          <w:sz w:val="22"/>
          <w:szCs w:val="22"/>
        </w:rPr>
        <w:t xml:space="preserve">that </w:t>
      </w:r>
      <w:r w:rsidR="004E108A">
        <w:rPr>
          <w:rFonts w:ascii="Arial" w:hAnsi="Arial" w:cs="Arial"/>
          <w:sz w:val="22"/>
          <w:szCs w:val="22"/>
        </w:rPr>
        <w:t xml:space="preserve">it is better to consider </w:t>
      </w:r>
      <w:r w:rsidR="001E6B93">
        <w:rPr>
          <w:rFonts w:ascii="Arial" w:hAnsi="Arial" w:cs="Arial"/>
          <w:sz w:val="22"/>
          <w:szCs w:val="22"/>
        </w:rPr>
        <w:t xml:space="preserve">reducing </w:t>
      </w:r>
      <w:r w:rsidR="004E108A">
        <w:rPr>
          <w:rFonts w:ascii="Arial" w:hAnsi="Arial" w:cs="Arial"/>
          <w:sz w:val="22"/>
          <w:szCs w:val="22"/>
        </w:rPr>
        <w:t xml:space="preserve">total cost and improving efficiency than buying </w:t>
      </w:r>
      <w:r w:rsidR="00033055">
        <w:rPr>
          <w:rFonts w:ascii="Arial" w:hAnsi="Arial" w:cs="Arial"/>
          <w:sz w:val="22"/>
          <w:szCs w:val="22"/>
        </w:rPr>
        <w:t>low-cost and potentially poorer quality</w:t>
      </w:r>
      <w:r w:rsidR="004E108A">
        <w:rPr>
          <w:rFonts w:ascii="Arial" w:hAnsi="Arial" w:cs="Arial"/>
          <w:sz w:val="22"/>
          <w:szCs w:val="22"/>
        </w:rPr>
        <w:t xml:space="preserve"> product</w:t>
      </w:r>
      <w:r w:rsidR="00033055">
        <w:rPr>
          <w:rFonts w:ascii="Arial" w:hAnsi="Arial" w:cs="Arial"/>
          <w:sz w:val="22"/>
          <w:szCs w:val="22"/>
        </w:rPr>
        <w:t>.</w:t>
      </w:r>
    </w:p>
    <w:p w:rsidR="006647D7" w:rsidRDefault="006647D7" w:rsidP="004F5869">
      <w:pPr>
        <w:spacing w:line="360" w:lineRule="auto"/>
        <w:jc w:val="both"/>
        <w:rPr>
          <w:rFonts w:ascii="Arial" w:hAnsi="Arial" w:cs="Arial"/>
          <w:sz w:val="22"/>
          <w:szCs w:val="22"/>
        </w:rPr>
      </w:pPr>
    </w:p>
    <w:p w:rsidR="001921DB" w:rsidRDefault="006647D7" w:rsidP="004F5869">
      <w:pPr>
        <w:spacing w:line="360" w:lineRule="auto"/>
        <w:jc w:val="both"/>
        <w:rPr>
          <w:rFonts w:ascii="Arial" w:hAnsi="Arial" w:cs="Arial"/>
          <w:sz w:val="22"/>
          <w:szCs w:val="22"/>
        </w:rPr>
      </w:pPr>
      <w:r>
        <w:rPr>
          <w:rFonts w:ascii="Arial" w:hAnsi="Arial" w:cs="Arial"/>
          <w:sz w:val="22"/>
          <w:szCs w:val="22"/>
        </w:rPr>
        <w:t xml:space="preserve">Fredrik Meuller, BA President Trelleborg Offshore &amp; Construction, says: “The natural reaction when the barrel price falls is for operators to cut costs wherever possible. </w:t>
      </w:r>
      <w:r w:rsidR="00D13DED">
        <w:rPr>
          <w:rFonts w:ascii="Arial" w:hAnsi="Arial" w:cs="Arial"/>
          <w:sz w:val="22"/>
          <w:szCs w:val="22"/>
        </w:rPr>
        <w:t xml:space="preserve">However, </w:t>
      </w:r>
      <w:r w:rsidR="00C02D6D">
        <w:rPr>
          <w:rFonts w:ascii="Arial" w:hAnsi="Arial" w:cs="Arial"/>
          <w:sz w:val="22"/>
          <w:szCs w:val="22"/>
        </w:rPr>
        <w:t xml:space="preserve">given the cyclical nature of the marketplace, it is vital that operators </w:t>
      </w:r>
      <w:r w:rsidR="00D13DED">
        <w:rPr>
          <w:rFonts w:ascii="Arial" w:hAnsi="Arial" w:cs="Arial"/>
          <w:sz w:val="22"/>
          <w:szCs w:val="22"/>
        </w:rPr>
        <w:t xml:space="preserve">save in the right areas and </w:t>
      </w:r>
      <w:r w:rsidR="00C02D6D">
        <w:rPr>
          <w:rFonts w:ascii="Arial" w:hAnsi="Arial" w:cs="Arial"/>
          <w:sz w:val="22"/>
          <w:szCs w:val="22"/>
        </w:rPr>
        <w:t xml:space="preserve">resist the temptation to </w:t>
      </w:r>
      <w:r w:rsidR="00D13DED">
        <w:rPr>
          <w:rFonts w:ascii="Arial" w:hAnsi="Arial" w:cs="Arial"/>
          <w:sz w:val="22"/>
          <w:szCs w:val="22"/>
        </w:rPr>
        <w:t xml:space="preserve">simply </w:t>
      </w:r>
      <w:r w:rsidR="00C02D6D">
        <w:rPr>
          <w:rFonts w:ascii="Arial" w:hAnsi="Arial" w:cs="Arial"/>
          <w:sz w:val="22"/>
          <w:szCs w:val="22"/>
        </w:rPr>
        <w:t>buy cheap.</w:t>
      </w:r>
      <w:r>
        <w:rPr>
          <w:rFonts w:ascii="Arial" w:hAnsi="Arial" w:cs="Arial"/>
          <w:sz w:val="22"/>
          <w:szCs w:val="22"/>
        </w:rPr>
        <w:t xml:space="preserve"> It remains</w:t>
      </w:r>
      <w:r w:rsidR="00D13DED">
        <w:rPr>
          <w:rFonts w:ascii="Arial" w:hAnsi="Arial" w:cs="Arial"/>
          <w:sz w:val="22"/>
          <w:szCs w:val="22"/>
        </w:rPr>
        <w:t xml:space="preserve"> important to invest in</w:t>
      </w:r>
      <w:r w:rsidR="00C02D6D">
        <w:rPr>
          <w:rFonts w:ascii="Arial" w:hAnsi="Arial" w:cs="Arial"/>
          <w:sz w:val="22"/>
          <w:szCs w:val="22"/>
        </w:rPr>
        <w:t xml:space="preserve"> </w:t>
      </w:r>
      <w:r w:rsidR="00EF6801">
        <w:rPr>
          <w:rFonts w:ascii="Arial" w:hAnsi="Arial" w:cs="Arial"/>
          <w:sz w:val="22"/>
          <w:szCs w:val="22"/>
        </w:rPr>
        <w:t>solution</w:t>
      </w:r>
      <w:r w:rsidR="00C02D6D">
        <w:rPr>
          <w:rFonts w:ascii="Arial" w:hAnsi="Arial" w:cs="Arial"/>
          <w:sz w:val="22"/>
          <w:szCs w:val="22"/>
        </w:rPr>
        <w:t xml:space="preserve">s </w:t>
      </w:r>
      <w:r w:rsidR="00D13DED">
        <w:rPr>
          <w:rFonts w:ascii="Arial" w:hAnsi="Arial" w:cs="Arial"/>
          <w:sz w:val="22"/>
          <w:szCs w:val="22"/>
        </w:rPr>
        <w:t xml:space="preserve">which will </w:t>
      </w:r>
      <w:r w:rsidR="001B5115">
        <w:rPr>
          <w:rFonts w:ascii="Arial" w:hAnsi="Arial" w:cs="Arial"/>
          <w:sz w:val="22"/>
          <w:szCs w:val="22"/>
        </w:rPr>
        <w:t xml:space="preserve">continuously </w:t>
      </w:r>
      <w:r w:rsidR="00D13DED">
        <w:rPr>
          <w:rFonts w:ascii="Arial" w:hAnsi="Arial" w:cs="Arial"/>
          <w:sz w:val="22"/>
          <w:szCs w:val="22"/>
        </w:rPr>
        <w:t xml:space="preserve">deliver high performance over </w:t>
      </w:r>
      <w:r w:rsidR="00EF6801">
        <w:rPr>
          <w:rFonts w:ascii="Arial" w:hAnsi="Arial" w:cs="Arial"/>
          <w:sz w:val="22"/>
          <w:szCs w:val="22"/>
        </w:rPr>
        <w:t>a long lifecycle,</w:t>
      </w:r>
      <w:r w:rsidR="00D13DED">
        <w:rPr>
          <w:rFonts w:ascii="Arial" w:hAnsi="Arial" w:cs="Arial"/>
          <w:sz w:val="22"/>
          <w:szCs w:val="22"/>
        </w:rPr>
        <w:t xml:space="preserve"> to protect projects</w:t>
      </w:r>
      <w:r>
        <w:rPr>
          <w:rFonts w:ascii="Arial" w:hAnsi="Arial" w:cs="Arial"/>
          <w:sz w:val="22"/>
          <w:szCs w:val="22"/>
        </w:rPr>
        <w:t xml:space="preserve"> in the long term,</w:t>
      </w:r>
      <w:r w:rsidR="00D13DED">
        <w:rPr>
          <w:rFonts w:ascii="Arial" w:hAnsi="Arial" w:cs="Arial"/>
          <w:sz w:val="22"/>
          <w:szCs w:val="22"/>
        </w:rPr>
        <w:t xml:space="preserve"> even in tough times.</w:t>
      </w:r>
      <w:r w:rsidR="002E51F6">
        <w:rPr>
          <w:rFonts w:ascii="Arial" w:hAnsi="Arial" w:cs="Arial"/>
          <w:sz w:val="22"/>
          <w:szCs w:val="22"/>
        </w:rPr>
        <w:t>”</w:t>
      </w:r>
    </w:p>
    <w:p w:rsidR="001921DB" w:rsidRDefault="001921DB" w:rsidP="004F5869">
      <w:pPr>
        <w:spacing w:line="360" w:lineRule="auto"/>
        <w:jc w:val="both"/>
        <w:rPr>
          <w:rFonts w:ascii="Arial" w:hAnsi="Arial" w:cs="Arial"/>
          <w:sz w:val="22"/>
          <w:szCs w:val="22"/>
        </w:rPr>
      </w:pPr>
    </w:p>
    <w:p w:rsidR="00992130" w:rsidRPr="00795825" w:rsidRDefault="003D7C5D" w:rsidP="004F5869">
      <w:pPr>
        <w:spacing w:line="360" w:lineRule="auto"/>
        <w:jc w:val="both"/>
        <w:rPr>
          <w:rFonts w:ascii="Arial" w:hAnsi="Arial" w:cs="Arial"/>
          <w:sz w:val="22"/>
          <w:szCs w:val="22"/>
        </w:rPr>
      </w:pPr>
      <w:r w:rsidRPr="00795825">
        <w:rPr>
          <w:rFonts w:ascii="Arial" w:hAnsi="Arial" w:cs="Arial"/>
          <w:sz w:val="22"/>
          <w:szCs w:val="22"/>
        </w:rPr>
        <w:t xml:space="preserve">In light of these challenges, </w:t>
      </w:r>
      <w:r w:rsidR="008172BC" w:rsidRPr="00795825">
        <w:rPr>
          <w:rFonts w:ascii="Arial" w:hAnsi="Arial" w:cs="Arial"/>
          <w:sz w:val="22"/>
          <w:szCs w:val="22"/>
        </w:rPr>
        <w:t>events like</w:t>
      </w:r>
      <w:r w:rsidR="001612CD" w:rsidRPr="00795825">
        <w:rPr>
          <w:rFonts w:ascii="Arial" w:hAnsi="Arial" w:cs="Arial"/>
          <w:sz w:val="22"/>
          <w:szCs w:val="22"/>
        </w:rPr>
        <w:t xml:space="preserve"> the Offshore</w:t>
      </w:r>
      <w:r w:rsidR="00483674" w:rsidRPr="00795825">
        <w:rPr>
          <w:rFonts w:ascii="Arial" w:hAnsi="Arial" w:cs="Arial"/>
          <w:sz w:val="22"/>
          <w:szCs w:val="22"/>
        </w:rPr>
        <w:t xml:space="preserve"> Technology Conference (OTC) </w:t>
      </w:r>
      <w:r w:rsidR="008172BC" w:rsidRPr="00795825">
        <w:rPr>
          <w:rFonts w:ascii="Arial" w:hAnsi="Arial" w:cs="Arial"/>
          <w:sz w:val="22"/>
          <w:szCs w:val="22"/>
        </w:rPr>
        <w:t xml:space="preserve">are </w:t>
      </w:r>
      <w:r w:rsidR="006647D7">
        <w:rPr>
          <w:rFonts w:ascii="Arial" w:hAnsi="Arial" w:cs="Arial"/>
          <w:sz w:val="22"/>
          <w:szCs w:val="22"/>
        </w:rPr>
        <w:t>central</w:t>
      </w:r>
      <w:r w:rsidRPr="00795825">
        <w:rPr>
          <w:rFonts w:ascii="Arial" w:hAnsi="Arial" w:cs="Arial"/>
          <w:sz w:val="22"/>
          <w:szCs w:val="22"/>
        </w:rPr>
        <w:t xml:space="preserve"> </w:t>
      </w:r>
      <w:r w:rsidR="006647D7">
        <w:rPr>
          <w:rFonts w:ascii="Arial" w:hAnsi="Arial" w:cs="Arial"/>
          <w:sz w:val="22"/>
          <w:szCs w:val="22"/>
        </w:rPr>
        <w:t>to</w:t>
      </w:r>
      <w:r w:rsidR="008172BC" w:rsidRPr="00795825">
        <w:rPr>
          <w:rFonts w:ascii="Arial" w:hAnsi="Arial" w:cs="Arial"/>
          <w:sz w:val="22"/>
          <w:szCs w:val="22"/>
        </w:rPr>
        <w:t xml:space="preserve"> sharing knowledge</w:t>
      </w:r>
      <w:r w:rsidRPr="00795825">
        <w:rPr>
          <w:rFonts w:ascii="Arial" w:hAnsi="Arial" w:cs="Arial"/>
          <w:sz w:val="22"/>
          <w:szCs w:val="22"/>
        </w:rPr>
        <w:t>.</w:t>
      </w:r>
      <w:r w:rsidR="00EF6801">
        <w:rPr>
          <w:rFonts w:ascii="Arial" w:hAnsi="Arial" w:cs="Arial"/>
          <w:sz w:val="22"/>
          <w:szCs w:val="22"/>
        </w:rPr>
        <w:t xml:space="preserve"> </w:t>
      </w:r>
      <w:r w:rsidRPr="00795825">
        <w:rPr>
          <w:rFonts w:ascii="Arial" w:hAnsi="Arial" w:cs="Arial"/>
          <w:sz w:val="22"/>
          <w:szCs w:val="22"/>
        </w:rPr>
        <w:t>At this year’s show, Trelleborg’</w:t>
      </w:r>
      <w:r w:rsidR="008172BC" w:rsidRPr="00795825">
        <w:rPr>
          <w:rFonts w:ascii="Arial" w:hAnsi="Arial" w:cs="Arial"/>
          <w:sz w:val="22"/>
          <w:szCs w:val="22"/>
        </w:rPr>
        <w:t>s on-stand experts will</w:t>
      </w:r>
      <w:r w:rsidRPr="00795825">
        <w:rPr>
          <w:rFonts w:ascii="Arial" w:hAnsi="Arial" w:cs="Arial"/>
          <w:sz w:val="22"/>
          <w:szCs w:val="22"/>
        </w:rPr>
        <w:t xml:space="preserve"> demons</w:t>
      </w:r>
      <w:r w:rsidR="008172BC" w:rsidRPr="00795825">
        <w:rPr>
          <w:rFonts w:ascii="Arial" w:hAnsi="Arial" w:cs="Arial"/>
          <w:sz w:val="22"/>
          <w:szCs w:val="22"/>
        </w:rPr>
        <w:t>trate</w:t>
      </w:r>
      <w:r w:rsidRPr="00795825">
        <w:rPr>
          <w:rFonts w:ascii="Arial" w:hAnsi="Arial" w:cs="Arial"/>
          <w:sz w:val="22"/>
          <w:szCs w:val="22"/>
        </w:rPr>
        <w:t xml:space="preserve"> just some of the </w:t>
      </w:r>
      <w:r w:rsidR="00093D4E" w:rsidRPr="00795825">
        <w:rPr>
          <w:rFonts w:ascii="Arial" w:hAnsi="Arial" w:cs="Arial"/>
          <w:sz w:val="22"/>
          <w:szCs w:val="22"/>
        </w:rPr>
        <w:t xml:space="preserve">innovative </w:t>
      </w:r>
      <w:r w:rsidRPr="00795825">
        <w:rPr>
          <w:rFonts w:ascii="Arial" w:hAnsi="Arial" w:cs="Arial"/>
          <w:sz w:val="22"/>
          <w:szCs w:val="22"/>
        </w:rPr>
        <w:t>key solut</w:t>
      </w:r>
      <w:r w:rsidR="00DF1DBE" w:rsidRPr="00795825">
        <w:rPr>
          <w:rFonts w:ascii="Arial" w:hAnsi="Arial" w:cs="Arial"/>
          <w:sz w:val="22"/>
          <w:szCs w:val="22"/>
        </w:rPr>
        <w:t>ions which can help operators’</w:t>
      </w:r>
      <w:r w:rsidRPr="00795825">
        <w:rPr>
          <w:rFonts w:ascii="Arial" w:hAnsi="Arial" w:cs="Arial"/>
          <w:sz w:val="22"/>
          <w:szCs w:val="22"/>
        </w:rPr>
        <w:t xml:space="preserve"> bridge the gap between </w:t>
      </w:r>
      <w:r w:rsidR="008172BC" w:rsidRPr="00795825">
        <w:rPr>
          <w:rFonts w:ascii="Arial" w:hAnsi="Arial" w:cs="Arial"/>
          <w:sz w:val="22"/>
          <w:szCs w:val="22"/>
        </w:rPr>
        <w:t xml:space="preserve">cost and performance. </w:t>
      </w:r>
      <w:r w:rsidR="005D6176">
        <w:rPr>
          <w:rFonts w:ascii="Arial" w:hAnsi="Arial" w:cs="Arial"/>
          <w:sz w:val="22"/>
          <w:szCs w:val="22"/>
        </w:rPr>
        <w:t>L</w:t>
      </w:r>
      <w:r w:rsidRPr="00795825">
        <w:rPr>
          <w:rFonts w:ascii="Arial" w:hAnsi="Arial" w:cs="Arial"/>
          <w:sz w:val="22"/>
          <w:szCs w:val="22"/>
        </w:rPr>
        <w:t>ooking ahead</w:t>
      </w:r>
      <w:r w:rsidR="008172BC" w:rsidRPr="00795825">
        <w:rPr>
          <w:rFonts w:ascii="Arial" w:hAnsi="Arial" w:cs="Arial"/>
          <w:sz w:val="22"/>
          <w:szCs w:val="22"/>
        </w:rPr>
        <w:t xml:space="preserve"> to May</w:t>
      </w:r>
      <w:r w:rsidR="00DF1DBE" w:rsidRPr="00795825">
        <w:rPr>
          <w:rFonts w:ascii="Arial" w:hAnsi="Arial" w:cs="Arial"/>
          <w:sz w:val="22"/>
          <w:szCs w:val="22"/>
        </w:rPr>
        <w:t>,</w:t>
      </w:r>
      <w:r w:rsidR="00F178A0" w:rsidRPr="00795825">
        <w:rPr>
          <w:rFonts w:ascii="Arial" w:hAnsi="Arial" w:cs="Arial"/>
          <w:sz w:val="22"/>
          <w:szCs w:val="22"/>
        </w:rPr>
        <w:t xml:space="preserve"> </w:t>
      </w:r>
      <w:r w:rsidRPr="00795825">
        <w:rPr>
          <w:rFonts w:ascii="Arial" w:hAnsi="Arial" w:cs="Arial"/>
          <w:sz w:val="22"/>
          <w:szCs w:val="22"/>
        </w:rPr>
        <w:t xml:space="preserve">Trelleborg </w:t>
      </w:r>
      <w:r w:rsidR="001E6B93">
        <w:rPr>
          <w:rFonts w:ascii="Arial" w:hAnsi="Arial" w:cs="Arial"/>
          <w:sz w:val="22"/>
          <w:szCs w:val="22"/>
        </w:rPr>
        <w:t xml:space="preserve">will also </w:t>
      </w:r>
      <w:r w:rsidRPr="00795825">
        <w:rPr>
          <w:rFonts w:ascii="Arial" w:hAnsi="Arial" w:cs="Arial"/>
          <w:sz w:val="22"/>
          <w:szCs w:val="22"/>
        </w:rPr>
        <w:t>highlight some</w:t>
      </w:r>
      <w:r w:rsidR="00F178A0" w:rsidRPr="00795825">
        <w:rPr>
          <w:rFonts w:ascii="Arial" w:hAnsi="Arial" w:cs="Arial"/>
          <w:sz w:val="22"/>
          <w:szCs w:val="22"/>
        </w:rPr>
        <w:t xml:space="preserve"> </w:t>
      </w:r>
      <w:r w:rsidR="008172BC" w:rsidRPr="00795825">
        <w:rPr>
          <w:rFonts w:ascii="Arial" w:hAnsi="Arial" w:cs="Arial"/>
          <w:sz w:val="22"/>
          <w:szCs w:val="22"/>
        </w:rPr>
        <w:t xml:space="preserve">of the </w:t>
      </w:r>
      <w:r w:rsidR="00F178A0" w:rsidRPr="00795825">
        <w:rPr>
          <w:rFonts w:ascii="Arial" w:hAnsi="Arial" w:cs="Arial"/>
          <w:sz w:val="22"/>
          <w:szCs w:val="22"/>
        </w:rPr>
        <w:t>ways in which</w:t>
      </w:r>
      <w:r w:rsidRPr="00795825">
        <w:rPr>
          <w:rFonts w:ascii="Arial" w:hAnsi="Arial" w:cs="Arial"/>
          <w:sz w:val="22"/>
          <w:szCs w:val="22"/>
        </w:rPr>
        <w:t xml:space="preserve"> the market</w:t>
      </w:r>
      <w:r w:rsidR="00F178A0" w:rsidRPr="00795825">
        <w:rPr>
          <w:rFonts w:ascii="Arial" w:hAnsi="Arial" w:cs="Arial"/>
          <w:sz w:val="22"/>
          <w:szCs w:val="22"/>
        </w:rPr>
        <w:t xml:space="preserve"> can lower </w:t>
      </w:r>
      <w:r w:rsidR="008172BC" w:rsidRPr="00795825">
        <w:rPr>
          <w:rFonts w:ascii="Arial" w:hAnsi="Arial" w:cs="Arial"/>
          <w:sz w:val="22"/>
          <w:szCs w:val="22"/>
        </w:rPr>
        <w:t>project</w:t>
      </w:r>
      <w:r w:rsidR="00F178A0" w:rsidRPr="00795825">
        <w:rPr>
          <w:rFonts w:ascii="Arial" w:hAnsi="Arial" w:cs="Arial"/>
          <w:sz w:val="22"/>
          <w:szCs w:val="22"/>
        </w:rPr>
        <w:t xml:space="preserve"> costs, optimize productivity and retain competitiveness as barrel prices </w:t>
      </w:r>
      <w:r w:rsidR="00145017" w:rsidRPr="00795825">
        <w:rPr>
          <w:rFonts w:ascii="Arial" w:hAnsi="Arial" w:cs="Arial"/>
          <w:sz w:val="22"/>
          <w:szCs w:val="22"/>
        </w:rPr>
        <w:t>recover</w:t>
      </w:r>
      <w:r w:rsidR="00F178A0" w:rsidRPr="00795825">
        <w:rPr>
          <w:rFonts w:ascii="Arial" w:hAnsi="Arial" w:cs="Arial"/>
          <w:sz w:val="22"/>
          <w:szCs w:val="22"/>
        </w:rPr>
        <w:t>.</w:t>
      </w:r>
      <w:r w:rsidR="008E795D" w:rsidRPr="00795825">
        <w:rPr>
          <w:rFonts w:ascii="Arial" w:hAnsi="Arial" w:cs="Arial"/>
          <w:sz w:val="22"/>
          <w:szCs w:val="22"/>
        </w:rPr>
        <w:t xml:space="preserve"> </w:t>
      </w:r>
      <w:r w:rsidRPr="00795825">
        <w:rPr>
          <w:rFonts w:ascii="Arial" w:hAnsi="Arial" w:cs="Arial"/>
          <w:sz w:val="22"/>
          <w:szCs w:val="22"/>
        </w:rPr>
        <w:t>Visit stand 5541 for demonstrations and further discussion.</w:t>
      </w:r>
    </w:p>
    <w:p w:rsidR="003D7C5D" w:rsidRPr="00795825" w:rsidRDefault="003D7C5D" w:rsidP="004F5869">
      <w:pPr>
        <w:spacing w:line="360" w:lineRule="auto"/>
        <w:jc w:val="both"/>
        <w:rPr>
          <w:rFonts w:ascii="Arial" w:hAnsi="Arial" w:cs="Arial"/>
          <w:sz w:val="22"/>
          <w:szCs w:val="22"/>
        </w:rPr>
      </w:pPr>
    </w:p>
    <w:p w:rsidR="00B218EB" w:rsidRPr="00795825" w:rsidRDefault="00FF1717" w:rsidP="004F5869">
      <w:pPr>
        <w:spacing w:line="360" w:lineRule="auto"/>
        <w:jc w:val="both"/>
        <w:rPr>
          <w:rFonts w:ascii="Arial" w:hAnsi="Arial" w:cs="Arial"/>
          <w:sz w:val="22"/>
          <w:szCs w:val="22"/>
        </w:rPr>
      </w:pPr>
      <w:r>
        <w:rPr>
          <w:rFonts w:ascii="Arial" w:hAnsi="Arial" w:cs="Arial"/>
          <w:sz w:val="22"/>
          <w:szCs w:val="22"/>
        </w:rPr>
        <w:t>Mark Angus</w:t>
      </w:r>
      <w:r w:rsidR="00992130" w:rsidRPr="00795825">
        <w:rPr>
          <w:rFonts w:ascii="Arial" w:hAnsi="Arial" w:cs="Arial"/>
          <w:sz w:val="22"/>
          <w:szCs w:val="22"/>
        </w:rPr>
        <w:t>,</w:t>
      </w:r>
      <w:r w:rsidR="001D3923" w:rsidRPr="00795825">
        <w:rPr>
          <w:rFonts w:ascii="Arial" w:hAnsi="Arial" w:cs="Arial"/>
          <w:sz w:val="22"/>
          <w:szCs w:val="22"/>
        </w:rPr>
        <w:t xml:space="preserve"> </w:t>
      </w:r>
      <w:r>
        <w:rPr>
          <w:rFonts w:ascii="Arial" w:hAnsi="Arial" w:cs="Arial"/>
          <w:sz w:val="22"/>
          <w:szCs w:val="22"/>
        </w:rPr>
        <w:t xml:space="preserve">Executive </w:t>
      </w:r>
      <w:r w:rsidR="00145017" w:rsidRPr="00795825">
        <w:rPr>
          <w:rFonts w:ascii="Arial" w:hAnsi="Arial" w:cs="Arial"/>
          <w:sz w:val="22"/>
          <w:szCs w:val="22"/>
        </w:rPr>
        <w:t>Vice President Drilling and Syntactic Products</w:t>
      </w:r>
      <w:r w:rsidR="00992130" w:rsidRPr="00795825">
        <w:rPr>
          <w:rFonts w:ascii="Arial" w:hAnsi="Arial" w:cs="Arial"/>
          <w:sz w:val="22"/>
          <w:szCs w:val="22"/>
        </w:rPr>
        <w:t xml:space="preserve"> within Trelleborg’s offshore operation, says: “</w:t>
      </w:r>
      <w:r w:rsidR="001D3923" w:rsidRPr="00795825">
        <w:rPr>
          <w:rFonts w:ascii="Arial" w:hAnsi="Arial" w:cs="Arial"/>
          <w:sz w:val="22"/>
          <w:szCs w:val="22"/>
        </w:rPr>
        <w:t>As</w:t>
      </w:r>
      <w:r w:rsidR="00C273A2">
        <w:rPr>
          <w:rFonts w:ascii="Arial" w:hAnsi="Arial" w:cs="Arial"/>
          <w:sz w:val="22"/>
          <w:szCs w:val="22"/>
        </w:rPr>
        <w:t xml:space="preserve"> drilling goes to deeper water,</w:t>
      </w:r>
      <w:r w:rsidR="008172BC" w:rsidRPr="00795825">
        <w:rPr>
          <w:rFonts w:ascii="Arial" w:hAnsi="Arial" w:cs="Arial"/>
          <w:sz w:val="22"/>
          <w:szCs w:val="22"/>
        </w:rPr>
        <w:t xml:space="preserve"> stresses placed on a</w:t>
      </w:r>
      <w:r w:rsidR="001D3923" w:rsidRPr="00795825">
        <w:rPr>
          <w:rFonts w:ascii="Arial" w:hAnsi="Arial" w:cs="Arial"/>
          <w:sz w:val="22"/>
          <w:szCs w:val="22"/>
        </w:rPr>
        <w:t xml:space="preserve"> rig’s </w:t>
      </w:r>
      <w:r w:rsidR="001D3923" w:rsidRPr="00795825">
        <w:rPr>
          <w:rFonts w:ascii="Arial" w:hAnsi="Arial" w:cs="Arial"/>
          <w:sz w:val="22"/>
          <w:szCs w:val="22"/>
        </w:rPr>
        <w:lastRenderedPageBreak/>
        <w:t>hoisting system become</w:t>
      </w:r>
      <w:r w:rsidR="00F760CA" w:rsidRPr="00795825">
        <w:rPr>
          <w:rFonts w:ascii="Arial" w:hAnsi="Arial" w:cs="Arial"/>
          <w:sz w:val="22"/>
          <w:szCs w:val="22"/>
        </w:rPr>
        <w:t xml:space="preserve"> greater</w:t>
      </w:r>
      <w:r w:rsidR="00160BB2" w:rsidRPr="00795825">
        <w:rPr>
          <w:rFonts w:ascii="Arial" w:hAnsi="Arial" w:cs="Arial"/>
          <w:sz w:val="22"/>
          <w:szCs w:val="22"/>
        </w:rPr>
        <w:t>, increasing risk of damage or f</w:t>
      </w:r>
      <w:r w:rsidR="00F760CA" w:rsidRPr="00795825">
        <w:rPr>
          <w:rFonts w:ascii="Arial" w:hAnsi="Arial" w:cs="Arial"/>
          <w:sz w:val="22"/>
          <w:szCs w:val="22"/>
        </w:rPr>
        <w:t xml:space="preserve">ailure to the drill pipe or </w:t>
      </w:r>
      <w:r w:rsidR="00160BB2" w:rsidRPr="00795825">
        <w:rPr>
          <w:rFonts w:ascii="Arial" w:hAnsi="Arial" w:cs="Arial"/>
          <w:sz w:val="22"/>
          <w:szCs w:val="22"/>
        </w:rPr>
        <w:t>hoist. Landing Strings Solutions LLC</w:t>
      </w:r>
      <w:r w:rsidR="006A7D81">
        <w:rPr>
          <w:rFonts w:ascii="Arial" w:hAnsi="Arial" w:cs="Arial"/>
          <w:sz w:val="22"/>
          <w:szCs w:val="22"/>
        </w:rPr>
        <w:t xml:space="preserve"> </w:t>
      </w:r>
      <w:r w:rsidR="006A7D81" w:rsidRPr="00C273A2">
        <w:rPr>
          <w:rFonts w:ascii="Arial" w:hAnsi="Arial" w:cs="Arial"/>
          <w:sz w:val="22"/>
          <w:szCs w:val="22"/>
        </w:rPr>
        <w:t xml:space="preserve">approached </w:t>
      </w:r>
      <w:r w:rsidR="00C273A2" w:rsidRPr="00C273A2">
        <w:rPr>
          <w:rFonts w:ascii="Arial" w:hAnsi="Arial" w:cs="Arial"/>
          <w:sz w:val="22"/>
          <w:szCs w:val="22"/>
        </w:rPr>
        <w:t xml:space="preserve">us </w:t>
      </w:r>
      <w:r w:rsidR="00A52983" w:rsidRPr="00C273A2">
        <w:rPr>
          <w:rFonts w:ascii="Arial" w:hAnsi="Arial" w:cs="Arial"/>
          <w:sz w:val="22"/>
          <w:szCs w:val="22"/>
        </w:rPr>
        <w:t>with its patented technology</w:t>
      </w:r>
      <w:r w:rsidR="00C273A2">
        <w:rPr>
          <w:rFonts w:ascii="Arial" w:hAnsi="Arial" w:cs="Arial"/>
          <w:sz w:val="22"/>
          <w:szCs w:val="22"/>
        </w:rPr>
        <w:t xml:space="preserve"> </w:t>
      </w:r>
      <w:r w:rsidR="00A52983">
        <w:rPr>
          <w:rFonts w:ascii="Arial" w:hAnsi="Arial" w:cs="Arial"/>
          <w:sz w:val="22"/>
          <w:szCs w:val="22"/>
        </w:rPr>
        <w:t>to develop</w:t>
      </w:r>
      <w:r w:rsidR="00A52983" w:rsidRPr="00A52983">
        <w:rPr>
          <w:rFonts w:ascii="Arial" w:hAnsi="Arial" w:cs="Arial"/>
          <w:sz w:val="22"/>
          <w:szCs w:val="22"/>
        </w:rPr>
        <w:t xml:space="preserve"> </w:t>
      </w:r>
      <w:r w:rsidR="00A52983" w:rsidRPr="00795825">
        <w:rPr>
          <w:rFonts w:ascii="Arial" w:hAnsi="Arial" w:cs="Arial"/>
          <w:sz w:val="22"/>
          <w:szCs w:val="22"/>
        </w:rPr>
        <w:t>the world’s first buoyancy module system deployed on a drill pipe landing string</w:t>
      </w:r>
      <w:r w:rsidR="00160BB2" w:rsidRPr="00795825">
        <w:rPr>
          <w:rFonts w:ascii="Arial" w:hAnsi="Arial" w:cs="Arial"/>
          <w:sz w:val="22"/>
          <w:szCs w:val="22"/>
        </w:rPr>
        <w:t>.</w:t>
      </w:r>
    </w:p>
    <w:p w:rsidR="00B218EB" w:rsidRPr="006A7D81" w:rsidRDefault="00B218EB" w:rsidP="004F5869">
      <w:pPr>
        <w:spacing w:line="360" w:lineRule="auto"/>
        <w:jc w:val="both"/>
        <w:rPr>
          <w:rFonts w:ascii="Arial" w:hAnsi="Arial" w:cs="Arial"/>
          <w:sz w:val="22"/>
          <w:szCs w:val="22"/>
        </w:rPr>
      </w:pPr>
    </w:p>
    <w:p w:rsidR="00160BB2" w:rsidRPr="00795825" w:rsidRDefault="00B218EB" w:rsidP="004F5869">
      <w:pPr>
        <w:spacing w:line="360" w:lineRule="auto"/>
        <w:jc w:val="both"/>
        <w:rPr>
          <w:rFonts w:ascii="Arial" w:hAnsi="Arial" w:cs="Arial"/>
          <w:sz w:val="22"/>
          <w:szCs w:val="22"/>
        </w:rPr>
      </w:pPr>
      <w:r w:rsidRPr="006A7D81">
        <w:rPr>
          <w:rFonts w:ascii="Arial" w:hAnsi="Arial" w:cs="Arial"/>
          <w:sz w:val="22"/>
          <w:szCs w:val="22"/>
        </w:rPr>
        <w:t>“</w:t>
      </w:r>
      <w:r w:rsidR="006A7D81" w:rsidRPr="006A7D81">
        <w:rPr>
          <w:rFonts w:ascii="Arial" w:hAnsi="Arial" w:cs="Arial"/>
          <w:color w:val="000000"/>
          <w:sz w:val="22"/>
          <w:szCs w:val="22"/>
        </w:rPr>
        <w:t xml:space="preserve">Working at or near design working load presents </w:t>
      </w:r>
      <w:r w:rsidR="00C273A2">
        <w:rPr>
          <w:rFonts w:ascii="Arial" w:hAnsi="Arial" w:cs="Arial"/>
          <w:color w:val="000000"/>
          <w:sz w:val="22"/>
          <w:szCs w:val="22"/>
        </w:rPr>
        <w:t xml:space="preserve">significant </w:t>
      </w:r>
      <w:r w:rsidR="006A7D81" w:rsidRPr="006A7D81">
        <w:rPr>
          <w:rFonts w:ascii="Arial" w:hAnsi="Arial" w:cs="Arial"/>
          <w:color w:val="000000"/>
          <w:sz w:val="22"/>
          <w:szCs w:val="22"/>
        </w:rPr>
        <w:t xml:space="preserve">safety and environmental concerns. </w:t>
      </w:r>
      <w:r w:rsidR="00C273A2">
        <w:rPr>
          <w:rFonts w:ascii="Arial" w:hAnsi="Arial" w:cs="Arial"/>
          <w:color w:val="000000"/>
          <w:sz w:val="22"/>
          <w:szCs w:val="22"/>
        </w:rPr>
        <w:t>However, this</w:t>
      </w:r>
      <w:r w:rsidR="00C273A2">
        <w:rPr>
          <w:rFonts w:ascii="Arial" w:hAnsi="Arial" w:cs="Arial"/>
          <w:sz w:val="22"/>
          <w:szCs w:val="22"/>
        </w:rPr>
        <w:t xml:space="preserve"> </w:t>
      </w:r>
      <w:r w:rsidR="006A7D81" w:rsidRPr="006A7D81">
        <w:rPr>
          <w:rFonts w:ascii="Arial" w:hAnsi="Arial" w:cs="Arial"/>
          <w:sz w:val="22"/>
          <w:szCs w:val="22"/>
        </w:rPr>
        <w:t xml:space="preserve">system is designed to offset the landing string weight by up to 80% in some cases. </w:t>
      </w:r>
      <w:r w:rsidRPr="006A7D81">
        <w:rPr>
          <w:rFonts w:ascii="Arial" w:hAnsi="Arial" w:cs="Arial"/>
          <w:sz w:val="22"/>
          <w:szCs w:val="22"/>
        </w:rPr>
        <w:t xml:space="preserve">By reducing </w:t>
      </w:r>
      <w:r w:rsidR="004C6A38" w:rsidRPr="006A7D81">
        <w:rPr>
          <w:rFonts w:ascii="Arial" w:hAnsi="Arial" w:cs="Arial"/>
          <w:sz w:val="22"/>
          <w:szCs w:val="22"/>
        </w:rPr>
        <w:t>t</w:t>
      </w:r>
      <w:r w:rsidRPr="006A7D81">
        <w:rPr>
          <w:rFonts w:ascii="Arial" w:hAnsi="Arial" w:cs="Arial"/>
          <w:sz w:val="22"/>
          <w:szCs w:val="22"/>
        </w:rPr>
        <w:t>he overall hook load</w:t>
      </w:r>
      <w:r w:rsidRPr="00795825">
        <w:rPr>
          <w:rFonts w:ascii="Arial" w:hAnsi="Arial" w:cs="Arial"/>
          <w:sz w:val="22"/>
          <w:szCs w:val="22"/>
        </w:rPr>
        <w:t>, the mechanical stresses are lessened and the rig’s load landing capabilities</w:t>
      </w:r>
      <w:r w:rsidR="004C6A38" w:rsidRPr="00795825">
        <w:rPr>
          <w:rFonts w:ascii="Arial" w:hAnsi="Arial" w:cs="Arial"/>
          <w:sz w:val="22"/>
          <w:szCs w:val="22"/>
        </w:rPr>
        <w:t xml:space="preserve"> are increased.</w:t>
      </w:r>
      <w:r w:rsidR="00486B78">
        <w:rPr>
          <w:rFonts w:ascii="Arial" w:hAnsi="Arial" w:cs="Arial"/>
          <w:sz w:val="22"/>
          <w:szCs w:val="22"/>
        </w:rPr>
        <w:t xml:space="preserve"> In addition to reducing risk, this means that smaller </w:t>
      </w:r>
      <w:r w:rsidR="001E6B93">
        <w:rPr>
          <w:rFonts w:ascii="Arial" w:hAnsi="Arial" w:cs="Arial"/>
          <w:sz w:val="22"/>
          <w:szCs w:val="22"/>
        </w:rPr>
        <w:t>inexpensive</w:t>
      </w:r>
      <w:r w:rsidR="00486B78">
        <w:rPr>
          <w:rFonts w:ascii="Arial" w:hAnsi="Arial" w:cs="Arial"/>
          <w:sz w:val="22"/>
          <w:szCs w:val="22"/>
        </w:rPr>
        <w:t xml:space="preserve"> rigs may be used, resulting in significant financial savings.</w:t>
      </w:r>
      <w:r w:rsidR="004C6A38" w:rsidRPr="00795825">
        <w:rPr>
          <w:rFonts w:ascii="Arial" w:hAnsi="Arial" w:cs="Arial"/>
          <w:sz w:val="22"/>
          <w:szCs w:val="22"/>
        </w:rPr>
        <w:t>”</w:t>
      </w:r>
    </w:p>
    <w:p w:rsidR="004C6A38" w:rsidRPr="00795825" w:rsidRDefault="004C6A38" w:rsidP="004F5869">
      <w:pPr>
        <w:spacing w:line="360" w:lineRule="auto"/>
        <w:jc w:val="both"/>
        <w:rPr>
          <w:rFonts w:ascii="Arial" w:hAnsi="Arial" w:cs="Arial"/>
          <w:sz w:val="22"/>
          <w:szCs w:val="22"/>
        </w:rPr>
      </w:pPr>
    </w:p>
    <w:p w:rsidR="008172BC" w:rsidRPr="00795825" w:rsidRDefault="003E78D2" w:rsidP="003E78D2">
      <w:pPr>
        <w:spacing w:line="360" w:lineRule="auto"/>
        <w:jc w:val="both"/>
        <w:rPr>
          <w:rFonts w:ascii="Arial" w:hAnsi="Arial" w:cs="Arial"/>
          <w:sz w:val="22"/>
          <w:szCs w:val="22"/>
        </w:rPr>
      </w:pPr>
      <w:r w:rsidRPr="00795825">
        <w:rPr>
          <w:rFonts w:ascii="Arial" w:hAnsi="Arial" w:cs="Arial"/>
          <w:sz w:val="22"/>
          <w:szCs w:val="22"/>
        </w:rPr>
        <w:t>Downtime caused by failure or maintenance</w:t>
      </w:r>
      <w:r w:rsidR="008172BC" w:rsidRPr="00795825">
        <w:rPr>
          <w:rFonts w:ascii="Arial" w:hAnsi="Arial" w:cs="Arial"/>
          <w:sz w:val="22"/>
          <w:szCs w:val="22"/>
        </w:rPr>
        <w:t xml:space="preserve"> </w:t>
      </w:r>
      <w:r w:rsidR="002E51F6">
        <w:rPr>
          <w:rFonts w:ascii="Arial" w:hAnsi="Arial" w:cs="Arial"/>
          <w:sz w:val="22"/>
          <w:szCs w:val="22"/>
        </w:rPr>
        <w:t xml:space="preserve">often yields </w:t>
      </w:r>
      <w:r w:rsidR="004E108A">
        <w:rPr>
          <w:rFonts w:ascii="Arial" w:hAnsi="Arial" w:cs="Arial"/>
          <w:sz w:val="22"/>
          <w:szCs w:val="22"/>
        </w:rPr>
        <w:t>a considerable cost that can be avoided</w:t>
      </w:r>
      <w:r w:rsidRPr="00795825">
        <w:rPr>
          <w:rFonts w:ascii="Arial" w:hAnsi="Arial" w:cs="Arial"/>
          <w:sz w:val="22"/>
          <w:szCs w:val="22"/>
        </w:rPr>
        <w:t xml:space="preserve">. </w:t>
      </w:r>
      <w:proofErr w:type="spellStart"/>
      <w:r w:rsidRPr="00795825">
        <w:rPr>
          <w:rFonts w:ascii="Arial" w:hAnsi="Arial" w:cs="Arial"/>
          <w:sz w:val="22"/>
          <w:szCs w:val="22"/>
        </w:rPr>
        <w:t>Henk</w:t>
      </w:r>
      <w:proofErr w:type="spellEnd"/>
      <w:r w:rsidRPr="00795825">
        <w:rPr>
          <w:rFonts w:ascii="Arial" w:hAnsi="Arial" w:cs="Arial"/>
          <w:sz w:val="22"/>
          <w:szCs w:val="22"/>
        </w:rPr>
        <w:t xml:space="preserve">-Willem Sanders, FPSO Focus Group Leader </w:t>
      </w:r>
      <w:r w:rsidR="004E108A">
        <w:rPr>
          <w:rFonts w:ascii="Arial" w:hAnsi="Arial" w:cs="Arial"/>
          <w:sz w:val="22"/>
          <w:szCs w:val="22"/>
        </w:rPr>
        <w:t>at</w:t>
      </w:r>
      <w:r w:rsidR="004E108A" w:rsidRPr="00795825">
        <w:rPr>
          <w:rFonts w:ascii="Arial" w:hAnsi="Arial" w:cs="Arial"/>
          <w:sz w:val="22"/>
          <w:szCs w:val="22"/>
        </w:rPr>
        <w:t xml:space="preserve"> </w:t>
      </w:r>
      <w:r w:rsidRPr="00795825">
        <w:rPr>
          <w:rFonts w:ascii="Arial" w:hAnsi="Arial" w:cs="Arial"/>
          <w:sz w:val="22"/>
          <w:szCs w:val="22"/>
        </w:rPr>
        <w:t>Trelleborg</w:t>
      </w:r>
      <w:r w:rsidR="004E108A">
        <w:rPr>
          <w:rFonts w:ascii="Arial" w:hAnsi="Arial" w:cs="Arial"/>
          <w:sz w:val="22"/>
          <w:szCs w:val="22"/>
        </w:rPr>
        <w:t xml:space="preserve"> S</w:t>
      </w:r>
      <w:r w:rsidRPr="00795825">
        <w:rPr>
          <w:rFonts w:ascii="Arial" w:hAnsi="Arial" w:cs="Arial"/>
          <w:sz w:val="22"/>
          <w:szCs w:val="22"/>
        </w:rPr>
        <w:t xml:space="preserve">ealing </w:t>
      </w:r>
      <w:r w:rsidR="004E108A">
        <w:rPr>
          <w:rFonts w:ascii="Arial" w:hAnsi="Arial" w:cs="Arial"/>
          <w:sz w:val="22"/>
          <w:szCs w:val="22"/>
        </w:rPr>
        <w:t>S</w:t>
      </w:r>
      <w:r w:rsidR="004E108A" w:rsidRPr="00795825">
        <w:rPr>
          <w:rFonts w:ascii="Arial" w:hAnsi="Arial" w:cs="Arial"/>
          <w:sz w:val="22"/>
          <w:szCs w:val="22"/>
        </w:rPr>
        <w:t xml:space="preserve">olutions </w:t>
      </w:r>
      <w:r w:rsidRPr="00795825">
        <w:rPr>
          <w:rFonts w:ascii="Arial" w:hAnsi="Arial" w:cs="Arial"/>
          <w:sz w:val="22"/>
          <w:szCs w:val="22"/>
        </w:rPr>
        <w:t xml:space="preserve">says: “Our </w:t>
      </w:r>
      <w:r w:rsidR="000D1ADC" w:rsidRPr="00795825">
        <w:rPr>
          <w:rFonts w:ascii="Arial" w:hAnsi="Arial" w:cs="Arial"/>
          <w:sz w:val="22"/>
          <w:szCs w:val="22"/>
        </w:rPr>
        <w:t xml:space="preserve">innovative </w:t>
      </w:r>
      <w:proofErr w:type="spellStart"/>
      <w:r w:rsidRPr="00795825">
        <w:rPr>
          <w:rFonts w:ascii="Arial" w:hAnsi="Arial" w:cs="Arial"/>
          <w:sz w:val="22"/>
          <w:szCs w:val="22"/>
        </w:rPr>
        <w:t>SealWelding</w:t>
      </w:r>
      <w:proofErr w:type="spellEnd"/>
      <w:r w:rsidR="002E51F6">
        <w:rPr>
          <w:rFonts w:ascii="Arial" w:hAnsi="Arial" w:cs="Arial"/>
          <w:sz w:val="22"/>
          <w:szCs w:val="22"/>
        </w:rPr>
        <w:t>™</w:t>
      </w:r>
      <w:r w:rsidRPr="00795825">
        <w:rPr>
          <w:rFonts w:ascii="Arial" w:hAnsi="Arial" w:cs="Arial"/>
          <w:sz w:val="22"/>
          <w:szCs w:val="22"/>
        </w:rPr>
        <w:t xml:space="preserve"> technology allows seals to be welded in-situ on an FPSO platf</w:t>
      </w:r>
      <w:r w:rsidR="00DF1DBE" w:rsidRPr="00795825">
        <w:rPr>
          <w:rFonts w:ascii="Arial" w:hAnsi="Arial" w:cs="Arial"/>
          <w:sz w:val="22"/>
          <w:szCs w:val="22"/>
        </w:rPr>
        <w:t>orm, eliminating the need for the platform</w:t>
      </w:r>
      <w:r w:rsidRPr="00795825">
        <w:rPr>
          <w:rFonts w:ascii="Arial" w:hAnsi="Arial" w:cs="Arial"/>
          <w:sz w:val="22"/>
          <w:szCs w:val="22"/>
        </w:rPr>
        <w:t xml:space="preserve"> to disconnect and return to shore. </w:t>
      </w:r>
      <w:r w:rsidR="002E51F6">
        <w:rPr>
          <w:rFonts w:ascii="Arial" w:hAnsi="Arial" w:cs="Arial"/>
          <w:sz w:val="22"/>
          <w:szCs w:val="22"/>
        </w:rPr>
        <w:t>F</w:t>
      </w:r>
      <w:r w:rsidRPr="00795825">
        <w:rPr>
          <w:rFonts w:ascii="Arial" w:hAnsi="Arial" w:cs="Arial"/>
          <w:sz w:val="22"/>
          <w:szCs w:val="22"/>
        </w:rPr>
        <w:t>acilities</w:t>
      </w:r>
      <w:r w:rsidR="002E51F6">
        <w:rPr>
          <w:rFonts w:ascii="Arial" w:hAnsi="Arial" w:cs="Arial"/>
          <w:sz w:val="22"/>
          <w:szCs w:val="22"/>
        </w:rPr>
        <w:t xml:space="preserve"> will no longer</w:t>
      </w:r>
      <w:r w:rsidRPr="00795825">
        <w:rPr>
          <w:rFonts w:ascii="Arial" w:hAnsi="Arial" w:cs="Arial"/>
          <w:sz w:val="22"/>
          <w:szCs w:val="22"/>
        </w:rPr>
        <w:t xml:space="preserve"> need to </w:t>
      </w:r>
      <w:r w:rsidR="002E51F6">
        <w:rPr>
          <w:rFonts w:ascii="Arial" w:hAnsi="Arial" w:cs="Arial"/>
          <w:sz w:val="22"/>
          <w:szCs w:val="22"/>
        </w:rPr>
        <w:t xml:space="preserve">shut down operations </w:t>
      </w:r>
      <w:r w:rsidRPr="00795825">
        <w:rPr>
          <w:rFonts w:ascii="Arial" w:hAnsi="Arial" w:cs="Arial"/>
          <w:sz w:val="22"/>
          <w:szCs w:val="22"/>
        </w:rPr>
        <w:t xml:space="preserve">for weeks at a time, causing </w:t>
      </w:r>
      <w:r w:rsidR="002E51F6">
        <w:rPr>
          <w:rFonts w:ascii="Arial" w:hAnsi="Arial" w:cs="Arial"/>
          <w:sz w:val="22"/>
          <w:szCs w:val="22"/>
        </w:rPr>
        <w:t xml:space="preserve">significant </w:t>
      </w:r>
      <w:r w:rsidRPr="00795825">
        <w:rPr>
          <w:rFonts w:ascii="Arial" w:hAnsi="Arial" w:cs="Arial"/>
          <w:sz w:val="22"/>
          <w:szCs w:val="22"/>
        </w:rPr>
        <w:t>lo</w:t>
      </w:r>
      <w:r w:rsidR="008172BC" w:rsidRPr="00795825">
        <w:rPr>
          <w:rFonts w:ascii="Arial" w:hAnsi="Arial" w:cs="Arial"/>
          <w:sz w:val="22"/>
          <w:szCs w:val="22"/>
        </w:rPr>
        <w:t>ss of earnings from production.</w:t>
      </w:r>
      <w:r w:rsidR="005D6176">
        <w:rPr>
          <w:rFonts w:ascii="Arial" w:hAnsi="Arial" w:cs="Arial"/>
          <w:sz w:val="22"/>
          <w:szCs w:val="22"/>
        </w:rPr>
        <w:t xml:space="preserve"> </w:t>
      </w:r>
      <w:r w:rsidR="008172BC" w:rsidRPr="00795825">
        <w:rPr>
          <w:rFonts w:ascii="Arial" w:hAnsi="Arial" w:cs="Arial"/>
          <w:sz w:val="22"/>
          <w:szCs w:val="22"/>
        </w:rPr>
        <w:t xml:space="preserve">Solutions such </w:t>
      </w:r>
      <w:r w:rsidR="00DF1DBE" w:rsidRPr="00795825">
        <w:rPr>
          <w:rFonts w:ascii="Arial" w:hAnsi="Arial" w:cs="Arial"/>
          <w:sz w:val="22"/>
          <w:szCs w:val="22"/>
        </w:rPr>
        <w:t xml:space="preserve">as ours not only add value, but </w:t>
      </w:r>
      <w:r w:rsidR="008172BC" w:rsidRPr="00795825">
        <w:rPr>
          <w:rFonts w:ascii="Arial" w:hAnsi="Arial" w:cs="Arial"/>
          <w:sz w:val="22"/>
          <w:szCs w:val="22"/>
        </w:rPr>
        <w:t xml:space="preserve">save a significant amount of time and naturally, </w:t>
      </w:r>
      <w:proofErr w:type="gramStart"/>
      <w:r w:rsidR="008172BC" w:rsidRPr="00795825">
        <w:rPr>
          <w:rFonts w:ascii="Arial" w:hAnsi="Arial" w:cs="Arial"/>
          <w:sz w:val="22"/>
          <w:szCs w:val="22"/>
        </w:rPr>
        <w:t>costs</w:t>
      </w:r>
      <w:proofErr w:type="gramEnd"/>
      <w:r w:rsidR="008172BC" w:rsidRPr="00795825">
        <w:rPr>
          <w:rFonts w:ascii="Arial" w:hAnsi="Arial" w:cs="Arial"/>
          <w:sz w:val="22"/>
          <w:szCs w:val="22"/>
        </w:rPr>
        <w:t xml:space="preserve"> too.”</w:t>
      </w:r>
    </w:p>
    <w:p w:rsidR="003E78D2" w:rsidRPr="00795825" w:rsidRDefault="003E78D2" w:rsidP="004F5869">
      <w:pPr>
        <w:spacing w:line="360" w:lineRule="auto"/>
        <w:jc w:val="both"/>
        <w:rPr>
          <w:rFonts w:ascii="Arial" w:hAnsi="Arial" w:cs="Arial"/>
          <w:sz w:val="22"/>
          <w:szCs w:val="22"/>
        </w:rPr>
      </w:pPr>
    </w:p>
    <w:p w:rsidR="004C6A38" w:rsidRPr="00795825" w:rsidRDefault="004C6A38" w:rsidP="004F5869">
      <w:pPr>
        <w:spacing w:line="360" w:lineRule="auto"/>
        <w:jc w:val="both"/>
        <w:rPr>
          <w:rFonts w:ascii="Arial" w:hAnsi="Arial" w:cs="Arial"/>
          <w:sz w:val="22"/>
          <w:szCs w:val="22"/>
        </w:rPr>
      </w:pPr>
      <w:r w:rsidRPr="00795825">
        <w:rPr>
          <w:rFonts w:ascii="Arial" w:hAnsi="Arial" w:cs="Arial"/>
          <w:sz w:val="22"/>
          <w:szCs w:val="22"/>
        </w:rPr>
        <w:t>While drilling offshore spans to new</w:t>
      </w:r>
      <w:r w:rsidR="00F760CA" w:rsidRPr="00795825">
        <w:rPr>
          <w:rFonts w:ascii="Arial" w:hAnsi="Arial" w:cs="Arial"/>
          <w:sz w:val="22"/>
          <w:szCs w:val="22"/>
        </w:rPr>
        <w:t>, far-</w:t>
      </w:r>
      <w:r w:rsidRPr="00795825">
        <w:rPr>
          <w:rFonts w:ascii="Arial" w:hAnsi="Arial" w:cs="Arial"/>
          <w:sz w:val="22"/>
          <w:szCs w:val="22"/>
        </w:rPr>
        <w:t xml:space="preserve">off locations, conventional means for installing offshore oil rigs are </w:t>
      </w:r>
      <w:r w:rsidR="004E108A">
        <w:rPr>
          <w:rFonts w:ascii="Arial" w:hAnsi="Arial" w:cs="Arial"/>
          <w:sz w:val="22"/>
          <w:szCs w:val="22"/>
        </w:rPr>
        <w:t>cost-prohibitive</w:t>
      </w:r>
      <w:r w:rsidRPr="00795825">
        <w:rPr>
          <w:rFonts w:ascii="Arial" w:hAnsi="Arial" w:cs="Arial"/>
          <w:sz w:val="22"/>
          <w:szCs w:val="22"/>
        </w:rPr>
        <w:t xml:space="preserve">. Julian Wee, </w:t>
      </w:r>
      <w:r w:rsidR="00145017" w:rsidRPr="00795825">
        <w:rPr>
          <w:rFonts w:ascii="Arial" w:hAnsi="Arial" w:cs="Arial"/>
          <w:sz w:val="22"/>
          <w:szCs w:val="22"/>
        </w:rPr>
        <w:t>Managing Director</w:t>
      </w:r>
      <w:r w:rsidRPr="00795825">
        <w:rPr>
          <w:rFonts w:ascii="Arial" w:hAnsi="Arial" w:cs="Arial"/>
          <w:sz w:val="22"/>
          <w:szCs w:val="22"/>
        </w:rPr>
        <w:t xml:space="preserve"> within Trelleborg’s engineered products operation</w:t>
      </w:r>
      <w:r w:rsidR="00A44AAA" w:rsidRPr="00795825">
        <w:rPr>
          <w:rFonts w:ascii="Arial" w:hAnsi="Arial" w:cs="Arial"/>
          <w:sz w:val="22"/>
          <w:szCs w:val="22"/>
        </w:rPr>
        <w:t>, says: “</w:t>
      </w:r>
      <w:r w:rsidR="004E108A">
        <w:rPr>
          <w:rFonts w:ascii="Arial" w:hAnsi="Arial" w:cs="Arial"/>
          <w:sz w:val="22"/>
          <w:szCs w:val="22"/>
        </w:rPr>
        <w:t>With t</w:t>
      </w:r>
      <w:r w:rsidR="00A44AAA" w:rsidRPr="00795825">
        <w:rPr>
          <w:rFonts w:ascii="Arial" w:hAnsi="Arial" w:cs="Arial"/>
          <w:sz w:val="22"/>
          <w:szCs w:val="22"/>
        </w:rPr>
        <w:t>opsides now often weigh</w:t>
      </w:r>
      <w:r w:rsidR="004E108A">
        <w:rPr>
          <w:rFonts w:ascii="Arial" w:hAnsi="Arial" w:cs="Arial"/>
          <w:sz w:val="22"/>
          <w:szCs w:val="22"/>
        </w:rPr>
        <w:t>ing</w:t>
      </w:r>
      <w:r w:rsidR="00A44AAA" w:rsidRPr="00795825">
        <w:rPr>
          <w:rFonts w:ascii="Arial" w:hAnsi="Arial" w:cs="Arial"/>
          <w:sz w:val="22"/>
          <w:szCs w:val="22"/>
        </w:rPr>
        <w:t xml:space="preserve"> more than 30,000 tons, </w:t>
      </w:r>
      <w:proofErr w:type="spellStart"/>
      <w:r w:rsidR="009A1D46" w:rsidRPr="00795825">
        <w:rPr>
          <w:rFonts w:ascii="Arial" w:hAnsi="Arial" w:cs="Arial"/>
          <w:sz w:val="22"/>
          <w:szCs w:val="22"/>
        </w:rPr>
        <w:t>floatover</w:t>
      </w:r>
      <w:proofErr w:type="spellEnd"/>
      <w:r w:rsidR="009A1D46" w:rsidRPr="00795825">
        <w:rPr>
          <w:rFonts w:ascii="Arial" w:hAnsi="Arial" w:cs="Arial"/>
          <w:sz w:val="22"/>
          <w:szCs w:val="22"/>
        </w:rPr>
        <w:t xml:space="preserve"> operations</w:t>
      </w:r>
      <w:r w:rsidR="00F760CA" w:rsidRPr="00795825">
        <w:rPr>
          <w:rFonts w:ascii="Arial" w:hAnsi="Arial" w:cs="Arial"/>
          <w:sz w:val="22"/>
          <w:szCs w:val="22"/>
        </w:rPr>
        <w:t xml:space="preserve"> </w:t>
      </w:r>
      <w:r w:rsidR="004E108A">
        <w:rPr>
          <w:rFonts w:ascii="Arial" w:hAnsi="Arial" w:cs="Arial"/>
          <w:sz w:val="22"/>
          <w:szCs w:val="22"/>
        </w:rPr>
        <w:t>are a cost-effective alternative to conventional installation methods</w:t>
      </w:r>
      <w:r w:rsidR="00F760CA" w:rsidRPr="00795825">
        <w:rPr>
          <w:rFonts w:ascii="Arial" w:hAnsi="Arial" w:cs="Arial"/>
          <w:sz w:val="22"/>
          <w:szCs w:val="22"/>
        </w:rPr>
        <w:t xml:space="preserve">. However, installation windows are small and the mating process between the topside and the </w:t>
      </w:r>
      <w:r w:rsidR="00777D27" w:rsidRPr="00795825">
        <w:rPr>
          <w:rFonts w:ascii="Arial" w:hAnsi="Arial" w:cs="Arial"/>
          <w:sz w:val="22"/>
          <w:szCs w:val="22"/>
        </w:rPr>
        <w:t xml:space="preserve">jacket legs must be controlled and executed precisely, </w:t>
      </w:r>
      <w:r w:rsidR="00DF1DBE" w:rsidRPr="00795825">
        <w:rPr>
          <w:rFonts w:ascii="Arial" w:hAnsi="Arial" w:cs="Arial"/>
          <w:sz w:val="22"/>
          <w:szCs w:val="22"/>
        </w:rPr>
        <w:t>to avoid</w:t>
      </w:r>
      <w:r w:rsidR="00777D27" w:rsidRPr="00795825">
        <w:rPr>
          <w:rFonts w:ascii="Arial" w:hAnsi="Arial" w:cs="Arial"/>
          <w:sz w:val="22"/>
          <w:szCs w:val="22"/>
        </w:rPr>
        <w:t xml:space="preserve"> damage and downtime.</w:t>
      </w:r>
    </w:p>
    <w:p w:rsidR="00777D27" w:rsidRPr="00795825" w:rsidRDefault="00777D27" w:rsidP="004F5869">
      <w:pPr>
        <w:spacing w:line="360" w:lineRule="auto"/>
        <w:jc w:val="both"/>
        <w:rPr>
          <w:rFonts w:ascii="Arial" w:hAnsi="Arial" w:cs="Arial"/>
          <w:sz w:val="22"/>
          <w:szCs w:val="22"/>
        </w:rPr>
      </w:pPr>
    </w:p>
    <w:p w:rsidR="00777D27" w:rsidRPr="00795825" w:rsidRDefault="00777D27" w:rsidP="004F5869">
      <w:pPr>
        <w:spacing w:line="360" w:lineRule="auto"/>
        <w:jc w:val="both"/>
        <w:rPr>
          <w:rFonts w:ascii="Arial" w:hAnsi="Arial" w:cs="Arial"/>
          <w:sz w:val="22"/>
          <w:szCs w:val="22"/>
        </w:rPr>
      </w:pPr>
      <w:r w:rsidRPr="00795825">
        <w:rPr>
          <w:rFonts w:ascii="Arial" w:hAnsi="Arial" w:cs="Arial"/>
          <w:sz w:val="22"/>
          <w:szCs w:val="22"/>
        </w:rPr>
        <w:t>“</w:t>
      </w:r>
      <w:r w:rsidR="00C0445F" w:rsidRPr="00C0445F">
        <w:rPr>
          <w:rFonts w:ascii="Arial" w:hAnsi="Arial" w:cs="Arial"/>
          <w:sz w:val="22"/>
          <w:szCs w:val="22"/>
        </w:rPr>
        <w:t>During the topside lowering process, the barge may undergo significant heave and other motions due to wave and current actions.</w:t>
      </w:r>
      <w:r w:rsidR="00C0445F">
        <w:rPr>
          <w:rFonts w:ascii="Arial" w:hAnsi="Arial" w:cs="Arial"/>
          <w:sz w:val="22"/>
          <w:szCs w:val="22"/>
        </w:rPr>
        <w:t xml:space="preserve"> Our leg mating units (LMU</w:t>
      </w:r>
      <w:r w:rsidR="00A96116">
        <w:rPr>
          <w:rFonts w:ascii="Arial" w:hAnsi="Arial" w:cs="Arial"/>
          <w:sz w:val="22"/>
          <w:szCs w:val="22"/>
        </w:rPr>
        <w:t>s</w:t>
      </w:r>
      <w:r w:rsidR="00C0445F">
        <w:rPr>
          <w:rFonts w:ascii="Arial" w:hAnsi="Arial" w:cs="Arial"/>
          <w:sz w:val="22"/>
          <w:szCs w:val="22"/>
        </w:rPr>
        <w:t>)</w:t>
      </w:r>
      <w:r w:rsidR="00C0445F" w:rsidRPr="00795825">
        <w:rPr>
          <w:rFonts w:ascii="Arial" w:hAnsi="Arial" w:cs="Arial"/>
          <w:sz w:val="22"/>
          <w:szCs w:val="22"/>
        </w:rPr>
        <w:t xml:space="preserve"> and </w:t>
      </w:r>
      <w:r w:rsidR="00C0445F">
        <w:rPr>
          <w:rFonts w:ascii="Arial" w:hAnsi="Arial" w:cs="Arial"/>
          <w:sz w:val="22"/>
          <w:szCs w:val="22"/>
        </w:rPr>
        <w:t>deck support units (</w:t>
      </w:r>
      <w:r w:rsidR="00C0445F" w:rsidRPr="00795825">
        <w:rPr>
          <w:rFonts w:ascii="Arial" w:hAnsi="Arial" w:cs="Arial"/>
          <w:sz w:val="22"/>
          <w:szCs w:val="22"/>
        </w:rPr>
        <w:t>DSU</w:t>
      </w:r>
      <w:r w:rsidR="00A96116">
        <w:rPr>
          <w:rFonts w:ascii="Arial" w:hAnsi="Arial" w:cs="Arial"/>
          <w:sz w:val="22"/>
          <w:szCs w:val="22"/>
        </w:rPr>
        <w:t>s</w:t>
      </w:r>
      <w:r w:rsidR="00C0445F">
        <w:rPr>
          <w:rFonts w:ascii="Arial" w:hAnsi="Arial" w:cs="Arial"/>
          <w:sz w:val="22"/>
          <w:szCs w:val="22"/>
        </w:rPr>
        <w:t>)</w:t>
      </w:r>
      <w:r w:rsidR="00C0445F" w:rsidRPr="00795825">
        <w:rPr>
          <w:rFonts w:ascii="Arial" w:hAnsi="Arial" w:cs="Arial"/>
          <w:sz w:val="22"/>
          <w:szCs w:val="22"/>
        </w:rPr>
        <w:t xml:space="preserve"> </w:t>
      </w:r>
      <w:r w:rsidR="00C0445F">
        <w:rPr>
          <w:rFonts w:ascii="Arial" w:hAnsi="Arial" w:cs="Arial"/>
          <w:sz w:val="22"/>
          <w:szCs w:val="22"/>
        </w:rPr>
        <w:t>are designed to take shock impacts. This is o</w:t>
      </w:r>
      <w:r w:rsidR="00DF1DBE" w:rsidRPr="00795825">
        <w:rPr>
          <w:rFonts w:ascii="Arial" w:hAnsi="Arial" w:cs="Arial"/>
          <w:sz w:val="22"/>
          <w:szCs w:val="22"/>
        </w:rPr>
        <w:t xml:space="preserve">ne of the ways our solutions </w:t>
      </w:r>
      <w:r w:rsidR="00C0445F">
        <w:rPr>
          <w:rFonts w:ascii="Arial" w:hAnsi="Arial" w:cs="Arial"/>
          <w:sz w:val="22"/>
          <w:szCs w:val="22"/>
        </w:rPr>
        <w:t xml:space="preserve">prevent damage during </w:t>
      </w:r>
      <w:proofErr w:type="spellStart"/>
      <w:r w:rsidR="00C0445F">
        <w:rPr>
          <w:rFonts w:ascii="Arial" w:hAnsi="Arial" w:cs="Arial"/>
          <w:sz w:val="22"/>
          <w:szCs w:val="22"/>
        </w:rPr>
        <w:t>floatover</w:t>
      </w:r>
      <w:proofErr w:type="spellEnd"/>
      <w:r w:rsidRPr="00795825">
        <w:rPr>
          <w:rFonts w:ascii="Arial" w:hAnsi="Arial" w:cs="Arial"/>
          <w:sz w:val="22"/>
          <w:szCs w:val="22"/>
        </w:rPr>
        <w:t>. We also test our LMUs to the actual specified loads in order to confidently validate design requirements.”</w:t>
      </w:r>
    </w:p>
    <w:p w:rsidR="00777D27" w:rsidRPr="00795825" w:rsidRDefault="00777D27" w:rsidP="004F5869">
      <w:pPr>
        <w:spacing w:line="360" w:lineRule="auto"/>
        <w:jc w:val="both"/>
        <w:rPr>
          <w:rFonts w:ascii="Arial" w:hAnsi="Arial" w:cs="Arial"/>
          <w:sz w:val="22"/>
          <w:szCs w:val="22"/>
        </w:rPr>
      </w:pPr>
    </w:p>
    <w:p w:rsidR="008172BC" w:rsidRPr="00795825" w:rsidRDefault="005D6176" w:rsidP="004F5869">
      <w:pPr>
        <w:spacing w:line="360" w:lineRule="auto"/>
        <w:jc w:val="both"/>
        <w:rPr>
          <w:rFonts w:ascii="Arial" w:hAnsi="Arial" w:cs="Arial"/>
          <w:sz w:val="22"/>
          <w:szCs w:val="22"/>
        </w:rPr>
      </w:pPr>
      <w:r>
        <w:rPr>
          <w:rFonts w:ascii="Arial" w:hAnsi="Arial" w:cs="Arial"/>
          <w:sz w:val="22"/>
          <w:szCs w:val="22"/>
        </w:rPr>
        <w:lastRenderedPageBreak/>
        <w:t>There is a growth in the Liquid Natural Gas (LNG) market to lower storage and transportation costs as it takes up 1/600</w:t>
      </w:r>
      <w:r w:rsidRPr="001921DB">
        <w:rPr>
          <w:rFonts w:ascii="Arial" w:hAnsi="Arial" w:cs="Arial"/>
          <w:sz w:val="22"/>
          <w:szCs w:val="22"/>
          <w:vertAlign w:val="superscript"/>
        </w:rPr>
        <w:t>th</w:t>
      </w:r>
      <w:r>
        <w:rPr>
          <w:rFonts w:ascii="Arial" w:hAnsi="Arial" w:cs="Arial"/>
          <w:sz w:val="22"/>
          <w:szCs w:val="22"/>
        </w:rPr>
        <w:t xml:space="preserve"> the volume of natural gas. However it is more difficult to handle, stimulating the need for safe economic offloading methods.  </w:t>
      </w:r>
    </w:p>
    <w:p w:rsidR="008172BC" w:rsidRPr="00795825" w:rsidRDefault="008172BC" w:rsidP="004F5869">
      <w:pPr>
        <w:spacing w:line="360" w:lineRule="auto"/>
        <w:jc w:val="both"/>
        <w:rPr>
          <w:rFonts w:ascii="Arial" w:hAnsi="Arial" w:cs="Arial"/>
          <w:sz w:val="22"/>
          <w:szCs w:val="22"/>
        </w:rPr>
      </w:pPr>
    </w:p>
    <w:p w:rsidR="00CC43B2" w:rsidRPr="00795825" w:rsidRDefault="00CC43B2" w:rsidP="004F5869">
      <w:pPr>
        <w:spacing w:line="360" w:lineRule="auto"/>
        <w:jc w:val="both"/>
        <w:rPr>
          <w:rFonts w:ascii="Arial" w:hAnsi="Arial" w:cs="Arial"/>
          <w:sz w:val="22"/>
          <w:szCs w:val="22"/>
        </w:rPr>
      </w:pPr>
      <w:r w:rsidRPr="00795825">
        <w:rPr>
          <w:rFonts w:ascii="Arial" w:hAnsi="Arial" w:cs="Arial"/>
          <w:sz w:val="22"/>
          <w:szCs w:val="22"/>
        </w:rPr>
        <w:t xml:space="preserve">Vincent Lagarrigue, </w:t>
      </w:r>
      <w:r w:rsidR="00145017" w:rsidRPr="00795825">
        <w:rPr>
          <w:rFonts w:ascii="Arial" w:hAnsi="Arial" w:cs="Arial"/>
          <w:sz w:val="22"/>
          <w:szCs w:val="22"/>
        </w:rPr>
        <w:t>Marketing</w:t>
      </w:r>
      <w:r w:rsidR="00D56DE6" w:rsidRPr="00795825">
        <w:rPr>
          <w:rFonts w:ascii="Arial" w:hAnsi="Arial" w:cs="Arial"/>
          <w:sz w:val="22"/>
          <w:szCs w:val="22"/>
        </w:rPr>
        <w:t xml:space="preserve"> and </w:t>
      </w:r>
      <w:r w:rsidR="00145017" w:rsidRPr="00795825">
        <w:rPr>
          <w:rFonts w:ascii="Arial" w:hAnsi="Arial" w:cs="Arial"/>
          <w:sz w:val="22"/>
          <w:szCs w:val="22"/>
        </w:rPr>
        <w:t xml:space="preserve">Proposal Manager </w:t>
      </w:r>
      <w:r w:rsidRPr="00795825">
        <w:rPr>
          <w:rFonts w:ascii="Arial" w:hAnsi="Arial" w:cs="Arial"/>
          <w:sz w:val="22"/>
          <w:szCs w:val="22"/>
        </w:rPr>
        <w:t xml:space="preserve">within Trelleborg’s </w:t>
      </w:r>
      <w:r w:rsidR="005804E4">
        <w:rPr>
          <w:rFonts w:ascii="Arial" w:hAnsi="Arial" w:cs="Arial"/>
          <w:sz w:val="22"/>
          <w:szCs w:val="22"/>
        </w:rPr>
        <w:t xml:space="preserve">oil and marine </w:t>
      </w:r>
      <w:r w:rsidRPr="00795825">
        <w:rPr>
          <w:rFonts w:ascii="Arial" w:hAnsi="Arial" w:cs="Arial"/>
          <w:sz w:val="22"/>
          <w:szCs w:val="22"/>
        </w:rPr>
        <w:t xml:space="preserve">hoses operation, says: “There was an absence of </w:t>
      </w:r>
      <w:r w:rsidR="005D6176">
        <w:rPr>
          <w:rFonts w:ascii="Arial" w:hAnsi="Arial" w:cs="Arial"/>
          <w:sz w:val="22"/>
          <w:szCs w:val="22"/>
        </w:rPr>
        <w:t>offloading</w:t>
      </w:r>
      <w:r w:rsidRPr="00795825">
        <w:rPr>
          <w:rFonts w:ascii="Arial" w:hAnsi="Arial" w:cs="Arial"/>
          <w:sz w:val="22"/>
          <w:szCs w:val="22"/>
        </w:rPr>
        <w:t xml:space="preserve"> solution</w:t>
      </w:r>
      <w:r w:rsidR="005D6176">
        <w:rPr>
          <w:rFonts w:ascii="Arial" w:hAnsi="Arial" w:cs="Arial"/>
          <w:sz w:val="22"/>
          <w:szCs w:val="22"/>
        </w:rPr>
        <w:t>s</w:t>
      </w:r>
      <w:r w:rsidRPr="00795825">
        <w:rPr>
          <w:rFonts w:ascii="Arial" w:hAnsi="Arial" w:cs="Arial"/>
          <w:sz w:val="22"/>
          <w:szCs w:val="22"/>
        </w:rPr>
        <w:t xml:space="preserve"> in the market, so we teamed up with </w:t>
      </w:r>
      <w:proofErr w:type="spellStart"/>
      <w:r w:rsidRPr="00795825">
        <w:rPr>
          <w:rFonts w:ascii="Arial" w:hAnsi="Arial" w:cs="Arial"/>
          <w:sz w:val="22"/>
          <w:szCs w:val="22"/>
        </w:rPr>
        <w:t>Saipem</w:t>
      </w:r>
      <w:proofErr w:type="spellEnd"/>
      <w:r w:rsidRPr="00795825">
        <w:rPr>
          <w:rFonts w:ascii="Arial" w:hAnsi="Arial" w:cs="Arial"/>
          <w:sz w:val="22"/>
          <w:szCs w:val="22"/>
        </w:rPr>
        <w:t xml:space="preserve"> </w:t>
      </w:r>
      <w:r w:rsidR="003E4F19" w:rsidRPr="00795825">
        <w:rPr>
          <w:rFonts w:ascii="Arial" w:hAnsi="Arial" w:cs="Arial"/>
          <w:sz w:val="22"/>
          <w:szCs w:val="22"/>
        </w:rPr>
        <w:t>to design a cryogenic floating hose</w:t>
      </w:r>
      <w:r w:rsidRPr="00795825">
        <w:rPr>
          <w:rFonts w:ascii="Arial" w:hAnsi="Arial" w:cs="Arial"/>
          <w:sz w:val="22"/>
          <w:szCs w:val="22"/>
        </w:rPr>
        <w:t xml:space="preserve">. It can operate in sea states with wave heights of up to three and half meters at connection and four </w:t>
      </w:r>
      <w:r w:rsidR="003E4F19" w:rsidRPr="00795825">
        <w:rPr>
          <w:rFonts w:ascii="Arial" w:hAnsi="Arial" w:cs="Arial"/>
          <w:sz w:val="22"/>
          <w:szCs w:val="22"/>
        </w:rPr>
        <w:t>meters</w:t>
      </w:r>
      <w:r w:rsidRPr="00795825">
        <w:rPr>
          <w:rFonts w:ascii="Arial" w:hAnsi="Arial" w:cs="Arial"/>
          <w:sz w:val="22"/>
          <w:szCs w:val="22"/>
        </w:rPr>
        <w:t xml:space="preserve"> during transfer and disconnection – even with non collinear wind or current directions.</w:t>
      </w:r>
      <w:r w:rsidR="003E4F19" w:rsidRPr="00795825">
        <w:rPr>
          <w:rFonts w:ascii="Arial" w:hAnsi="Arial" w:cs="Arial"/>
          <w:sz w:val="22"/>
          <w:szCs w:val="22"/>
        </w:rPr>
        <w:t xml:space="preserve"> Our design enables transfer between the LNG</w:t>
      </w:r>
      <w:r w:rsidR="00BC78A4" w:rsidRPr="00795825">
        <w:rPr>
          <w:rFonts w:ascii="Arial" w:hAnsi="Arial" w:cs="Arial"/>
          <w:sz w:val="22"/>
          <w:szCs w:val="22"/>
        </w:rPr>
        <w:t>C</w:t>
      </w:r>
      <w:r w:rsidR="003E4F19" w:rsidRPr="00795825">
        <w:rPr>
          <w:rFonts w:ascii="Arial" w:hAnsi="Arial" w:cs="Arial"/>
          <w:sz w:val="22"/>
          <w:szCs w:val="22"/>
        </w:rPr>
        <w:t xml:space="preserve"> and FLNG terminal to be increased from a standard five meters to 150-250 meters, significantly limiting the risk of collision.”</w:t>
      </w:r>
    </w:p>
    <w:p w:rsidR="00421FA8" w:rsidRPr="00795825" w:rsidRDefault="00421FA8" w:rsidP="004F5869">
      <w:pPr>
        <w:spacing w:line="360" w:lineRule="auto"/>
        <w:jc w:val="both"/>
        <w:rPr>
          <w:rFonts w:ascii="Arial" w:hAnsi="Arial" w:cs="Arial"/>
          <w:sz w:val="22"/>
          <w:szCs w:val="22"/>
        </w:rPr>
      </w:pPr>
    </w:p>
    <w:p w:rsidR="003D7C5D" w:rsidRPr="00795825" w:rsidRDefault="00421FA8" w:rsidP="004F5869">
      <w:pPr>
        <w:spacing w:line="360" w:lineRule="auto"/>
        <w:jc w:val="both"/>
        <w:rPr>
          <w:rFonts w:ascii="Arial" w:hAnsi="Arial" w:cs="Arial"/>
          <w:sz w:val="22"/>
          <w:szCs w:val="22"/>
        </w:rPr>
      </w:pPr>
      <w:r w:rsidRPr="00795825">
        <w:rPr>
          <w:rFonts w:ascii="Arial" w:hAnsi="Arial" w:cs="Arial"/>
          <w:sz w:val="22"/>
          <w:szCs w:val="22"/>
        </w:rPr>
        <w:t xml:space="preserve">Trelleborg will exhibit its range of </w:t>
      </w:r>
      <w:r w:rsidR="000D1ADC" w:rsidRPr="00795825">
        <w:rPr>
          <w:rFonts w:ascii="Arial" w:hAnsi="Arial" w:cs="Arial"/>
          <w:sz w:val="22"/>
          <w:szCs w:val="22"/>
        </w:rPr>
        <w:t xml:space="preserve">innovative </w:t>
      </w:r>
      <w:r w:rsidRPr="00795825">
        <w:rPr>
          <w:rFonts w:ascii="Arial" w:hAnsi="Arial" w:cs="Arial"/>
          <w:sz w:val="22"/>
          <w:szCs w:val="22"/>
        </w:rPr>
        <w:t xml:space="preserve">offshore solutions </w:t>
      </w:r>
      <w:r w:rsidR="00DE0474">
        <w:rPr>
          <w:rFonts w:ascii="Arial" w:hAnsi="Arial" w:cs="Arial"/>
          <w:sz w:val="22"/>
          <w:szCs w:val="22"/>
        </w:rPr>
        <w:t xml:space="preserve">at OTC Houston 2015 </w:t>
      </w:r>
      <w:r w:rsidR="004E108A">
        <w:rPr>
          <w:rFonts w:ascii="Arial" w:hAnsi="Arial" w:cs="Arial"/>
          <w:sz w:val="22"/>
          <w:szCs w:val="22"/>
        </w:rPr>
        <w:t xml:space="preserve">in hall A </w:t>
      </w:r>
      <w:r w:rsidR="00DE0474">
        <w:rPr>
          <w:rFonts w:ascii="Arial" w:hAnsi="Arial" w:cs="Arial"/>
          <w:sz w:val="22"/>
          <w:szCs w:val="22"/>
        </w:rPr>
        <w:t xml:space="preserve">at </w:t>
      </w:r>
      <w:r w:rsidRPr="00795825">
        <w:rPr>
          <w:rFonts w:ascii="Arial" w:hAnsi="Arial" w:cs="Arial"/>
          <w:sz w:val="22"/>
          <w:szCs w:val="22"/>
        </w:rPr>
        <w:t xml:space="preserve">stand </w:t>
      </w:r>
      <w:r w:rsidR="00145017" w:rsidRPr="00795825">
        <w:rPr>
          <w:rFonts w:ascii="Arial" w:hAnsi="Arial" w:cs="Arial"/>
          <w:sz w:val="22"/>
          <w:szCs w:val="22"/>
        </w:rPr>
        <w:t>5541</w:t>
      </w:r>
      <w:r w:rsidR="002B12D0" w:rsidRPr="00795825">
        <w:rPr>
          <w:rFonts w:ascii="Arial" w:hAnsi="Arial" w:cs="Arial"/>
          <w:sz w:val="22"/>
          <w:szCs w:val="22"/>
        </w:rPr>
        <w:t>. Products</w:t>
      </w:r>
      <w:r w:rsidR="00876C0F" w:rsidRPr="00795825">
        <w:rPr>
          <w:rFonts w:ascii="Arial" w:hAnsi="Arial" w:cs="Arial"/>
          <w:sz w:val="22"/>
          <w:szCs w:val="22"/>
        </w:rPr>
        <w:t xml:space="preserve"> </w:t>
      </w:r>
      <w:r w:rsidR="002B12D0" w:rsidRPr="00795825">
        <w:rPr>
          <w:rFonts w:ascii="Arial" w:hAnsi="Arial" w:cs="Arial"/>
          <w:sz w:val="22"/>
          <w:szCs w:val="22"/>
        </w:rPr>
        <w:t>are designed with quality, performance and efficiency front of mind and</w:t>
      </w:r>
      <w:r w:rsidRPr="00795825">
        <w:rPr>
          <w:rFonts w:ascii="Arial" w:hAnsi="Arial" w:cs="Arial"/>
          <w:sz w:val="22"/>
          <w:szCs w:val="22"/>
        </w:rPr>
        <w:t xml:space="preserve"> include </w:t>
      </w:r>
      <w:r w:rsidR="002B12D0" w:rsidRPr="00795825">
        <w:rPr>
          <w:rFonts w:ascii="Arial" w:hAnsi="Arial" w:cs="Arial"/>
          <w:sz w:val="22"/>
          <w:szCs w:val="22"/>
        </w:rPr>
        <w:t xml:space="preserve">high performance </w:t>
      </w:r>
      <w:r w:rsidRPr="00795825">
        <w:rPr>
          <w:rFonts w:ascii="Arial" w:hAnsi="Arial" w:cs="Arial"/>
          <w:sz w:val="22"/>
          <w:szCs w:val="22"/>
        </w:rPr>
        <w:t xml:space="preserve">pipeline protection and insulation, buoyancy, </w:t>
      </w:r>
      <w:proofErr w:type="spellStart"/>
      <w:r w:rsidRPr="00795825">
        <w:rPr>
          <w:rFonts w:ascii="Arial" w:hAnsi="Arial" w:cs="Arial"/>
          <w:sz w:val="22"/>
          <w:szCs w:val="22"/>
        </w:rPr>
        <w:t>floato</w:t>
      </w:r>
      <w:r w:rsidR="002B12D0" w:rsidRPr="00795825">
        <w:rPr>
          <w:rFonts w:ascii="Arial" w:hAnsi="Arial" w:cs="Arial"/>
          <w:sz w:val="22"/>
          <w:szCs w:val="22"/>
        </w:rPr>
        <w:t>ver</w:t>
      </w:r>
      <w:proofErr w:type="spellEnd"/>
      <w:r w:rsidR="002B12D0" w:rsidRPr="00795825">
        <w:rPr>
          <w:rFonts w:ascii="Arial" w:hAnsi="Arial" w:cs="Arial"/>
          <w:sz w:val="22"/>
          <w:szCs w:val="22"/>
        </w:rPr>
        <w:t xml:space="preserve"> technology, seals and hoses. </w:t>
      </w:r>
    </w:p>
    <w:bookmarkEnd w:id="0"/>
    <w:p w:rsidR="00555190" w:rsidRPr="00795825" w:rsidRDefault="00CE070E" w:rsidP="005927FD">
      <w:pPr>
        <w:spacing w:line="360" w:lineRule="auto"/>
        <w:ind w:right="288"/>
        <w:jc w:val="center"/>
        <w:rPr>
          <w:rFonts w:ascii="Arial" w:hAnsi="Arial" w:cs="Arial"/>
          <w:b/>
          <w:sz w:val="22"/>
          <w:szCs w:val="22"/>
        </w:rPr>
      </w:pPr>
      <w:r w:rsidRPr="00795825">
        <w:rPr>
          <w:rFonts w:ascii="Arial" w:hAnsi="Arial" w:cs="Arial"/>
          <w:b/>
          <w:sz w:val="22"/>
          <w:szCs w:val="22"/>
        </w:rPr>
        <w:t>-Ends-</w:t>
      </w:r>
    </w:p>
    <w:p w:rsidR="002B12D0" w:rsidRPr="00795825" w:rsidRDefault="002B12D0" w:rsidP="005927FD">
      <w:pPr>
        <w:spacing w:line="360" w:lineRule="auto"/>
        <w:ind w:right="288"/>
        <w:rPr>
          <w:rFonts w:ascii="Arial" w:hAnsi="Arial" w:cs="Arial"/>
          <w:b/>
          <w:sz w:val="22"/>
          <w:szCs w:val="22"/>
        </w:rPr>
      </w:pPr>
    </w:p>
    <w:p w:rsidR="005927FD" w:rsidRPr="00795825" w:rsidRDefault="005927FD" w:rsidP="005927FD">
      <w:pPr>
        <w:spacing w:line="360" w:lineRule="auto"/>
        <w:ind w:right="288"/>
        <w:rPr>
          <w:rFonts w:ascii="Arial" w:hAnsi="Arial" w:cs="Arial"/>
          <w:sz w:val="22"/>
          <w:szCs w:val="22"/>
        </w:rPr>
      </w:pPr>
      <w:r w:rsidRPr="00795825">
        <w:rPr>
          <w:rFonts w:ascii="Arial" w:hAnsi="Arial" w:cs="Arial"/>
          <w:sz w:val="22"/>
          <w:szCs w:val="22"/>
        </w:rPr>
        <w:t>*</w:t>
      </w:r>
      <w:hyperlink r:id="rId10" w:history="1">
        <w:r w:rsidR="006F387B" w:rsidRPr="00795825">
          <w:rPr>
            <w:rStyle w:val="Hyperlink"/>
            <w:rFonts w:ascii="Arial" w:hAnsi="Arial" w:cs="Arial"/>
            <w:sz w:val="22"/>
            <w:szCs w:val="22"/>
          </w:rPr>
          <w:t>http://www.telegraph.co.uk/finance/oilprices/11443080/Oil-prices-at-60-is-new-normal-says-Colombian-finance-minister.html</w:t>
        </w:r>
      </w:hyperlink>
      <w:r w:rsidR="006F387B" w:rsidRPr="00795825">
        <w:rPr>
          <w:rFonts w:ascii="Arial" w:hAnsi="Arial" w:cs="Arial"/>
          <w:sz w:val="22"/>
          <w:szCs w:val="22"/>
        </w:rPr>
        <w:t xml:space="preserve">  </w:t>
      </w:r>
    </w:p>
    <w:p w:rsidR="005927FD" w:rsidRPr="00795825" w:rsidRDefault="005927FD" w:rsidP="00D56DE6">
      <w:pPr>
        <w:autoSpaceDE w:val="0"/>
        <w:autoSpaceDN w:val="0"/>
        <w:adjustRightInd w:val="0"/>
        <w:ind w:left="-142"/>
        <w:jc w:val="both"/>
        <w:rPr>
          <w:rFonts w:ascii="Arial" w:hAnsi="Arial" w:cs="Arial"/>
          <w:iCs/>
          <w:sz w:val="18"/>
          <w:szCs w:val="20"/>
        </w:rPr>
      </w:pPr>
    </w:p>
    <w:p w:rsidR="00D56DE6" w:rsidRPr="00795825" w:rsidRDefault="00D56DE6" w:rsidP="00D56DE6">
      <w:pPr>
        <w:autoSpaceDE w:val="0"/>
        <w:autoSpaceDN w:val="0"/>
        <w:adjustRightInd w:val="0"/>
        <w:ind w:left="-142"/>
        <w:jc w:val="both"/>
        <w:rPr>
          <w:rFonts w:ascii="Arial" w:hAnsi="Arial" w:cs="Arial"/>
          <w:sz w:val="18"/>
          <w:szCs w:val="20"/>
        </w:rPr>
      </w:pPr>
      <w:r w:rsidRPr="00795825">
        <w:rPr>
          <w:rFonts w:ascii="Arial" w:hAnsi="Arial" w:cs="Arial"/>
          <w:iCs/>
          <w:sz w:val="18"/>
          <w:szCs w:val="20"/>
        </w:rPr>
        <w:t xml:space="preserve">For additional information on Trelleborg solutions for all offshore and subsea markets, please call Ruth Clay, </w:t>
      </w:r>
      <w:r w:rsidRPr="00795825">
        <w:rPr>
          <w:rFonts w:ascii="Arial" w:hAnsi="Arial" w:cs="Arial"/>
          <w:sz w:val="18"/>
          <w:szCs w:val="20"/>
        </w:rPr>
        <w:t xml:space="preserve">Direct: +18324568308, Mobile: +12817405755; </w:t>
      </w:r>
      <w:hyperlink r:id="rId11" w:history="1">
        <w:r w:rsidRPr="00795825">
          <w:rPr>
            <w:rStyle w:val="Hyperlink"/>
            <w:rFonts w:ascii="Arial" w:hAnsi="Arial" w:cs="Arial"/>
            <w:sz w:val="18"/>
            <w:szCs w:val="20"/>
            <w:lang w:eastAsia="en-GB"/>
          </w:rPr>
          <w:t>ruth.clay@trelleborg.com</w:t>
        </w:r>
      </w:hyperlink>
      <w:r w:rsidRPr="00795825">
        <w:rPr>
          <w:rFonts w:ascii="Arial" w:hAnsi="Arial" w:cs="Arial"/>
          <w:sz w:val="18"/>
          <w:szCs w:val="20"/>
          <w:lang w:eastAsia="en-GB"/>
        </w:rPr>
        <w:t xml:space="preserve">. </w:t>
      </w:r>
    </w:p>
    <w:p w:rsidR="00D56DE6" w:rsidRPr="00795825" w:rsidRDefault="00D56DE6" w:rsidP="00D56DE6">
      <w:pPr>
        <w:ind w:left="-142"/>
        <w:jc w:val="both"/>
        <w:rPr>
          <w:rFonts w:ascii="Arial" w:hAnsi="Arial" w:cs="Arial"/>
          <w:sz w:val="18"/>
          <w:szCs w:val="20"/>
        </w:rPr>
      </w:pPr>
    </w:p>
    <w:p w:rsidR="000D1ADC" w:rsidRPr="00795825" w:rsidRDefault="00D56DE6" w:rsidP="000D1ADC">
      <w:pPr>
        <w:ind w:left="-144"/>
        <w:jc w:val="both"/>
        <w:rPr>
          <w:rFonts w:ascii="Arial" w:hAnsi="Arial" w:cs="Arial"/>
          <w:bCs/>
          <w:sz w:val="18"/>
          <w:szCs w:val="18"/>
        </w:rPr>
      </w:pPr>
      <w:r w:rsidRPr="00795825">
        <w:rPr>
          <w:rFonts w:ascii="Arial" w:hAnsi="Arial" w:cs="Arial"/>
          <w:b/>
          <w:sz w:val="18"/>
          <w:szCs w:val="20"/>
        </w:rPr>
        <w:t>For press information:</w:t>
      </w:r>
      <w:r w:rsidRPr="00795825">
        <w:rPr>
          <w:rFonts w:ascii="Arial" w:hAnsi="Arial" w:cs="Arial"/>
          <w:sz w:val="18"/>
          <w:szCs w:val="20"/>
        </w:rPr>
        <w:t xml:space="preserve">  </w:t>
      </w:r>
    </w:p>
    <w:p w:rsidR="00D56DE6" w:rsidRPr="00795825" w:rsidRDefault="000D1ADC" w:rsidP="00795825">
      <w:pPr>
        <w:ind w:left="-144"/>
        <w:jc w:val="both"/>
        <w:rPr>
          <w:rFonts w:ascii="Arial" w:hAnsi="Arial" w:cs="Arial"/>
          <w:bCs/>
          <w:sz w:val="18"/>
          <w:szCs w:val="18"/>
        </w:rPr>
      </w:pPr>
      <w:r w:rsidRPr="00795825">
        <w:rPr>
          <w:rFonts w:ascii="Arial" w:hAnsi="Arial" w:cs="Arial"/>
          <w:bCs/>
          <w:sz w:val="18"/>
          <w:szCs w:val="18"/>
        </w:rPr>
        <w:t xml:space="preserve">Valerie Harding, Ripple Effect Communications, 491 Mass. Avenue, Suite 4, Boston, MA 02118 USA, </w:t>
      </w:r>
      <w:proofErr w:type="gramStart"/>
      <w:r w:rsidRPr="00795825">
        <w:rPr>
          <w:rFonts w:ascii="Arial" w:hAnsi="Arial" w:cs="Arial"/>
          <w:bCs/>
          <w:sz w:val="18"/>
          <w:szCs w:val="18"/>
        </w:rPr>
        <w:t>Tel</w:t>
      </w:r>
      <w:proofErr w:type="gramEnd"/>
      <w:r w:rsidRPr="00795825">
        <w:rPr>
          <w:rFonts w:ascii="Arial" w:hAnsi="Arial" w:cs="Arial"/>
          <w:bCs/>
          <w:sz w:val="18"/>
          <w:szCs w:val="18"/>
        </w:rPr>
        <w:t xml:space="preserve">: 617-536-8887, Email: </w:t>
      </w:r>
      <w:hyperlink r:id="rId12" w:history="1">
        <w:r w:rsidRPr="00795825">
          <w:rPr>
            <w:rStyle w:val="Hyperlink"/>
            <w:rFonts w:ascii="Arial" w:hAnsi="Arial" w:cs="Arial"/>
            <w:bCs/>
            <w:sz w:val="18"/>
            <w:szCs w:val="18"/>
          </w:rPr>
          <w:t>valerie@rippleeffectpr.com</w:t>
        </w:r>
      </w:hyperlink>
      <w:r w:rsidR="00795825">
        <w:rPr>
          <w:rFonts w:ascii="Arial" w:hAnsi="Arial" w:cs="Arial"/>
          <w:bCs/>
          <w:sz w:val="18"/>
          <w:szCs w:val="18"/>
        </w:rPr>
        <w:t>.</w:t>
      </w:r>
    </w:p>
    <w:p w:rsidR="00D56DE6" w:rsidRPr="00795825" w:rsidRDefault="00D56DE6" w:rsidP="00D56DE6">
      <w:pPr>
        <w:ind w:left="-142"/>
        <w:jc w:val="both"/>
        <w:rPr>
          <w:rFonts w:ascii="Arial" w:hAnsi="Arial" w:cs="Arial"/>
          <w:sz w:val="18"/>
          <w:szCs w:val="20"/>
        </w:rPr>
      </w:pPr>
    </w:p>
    <w:p w:rsidR="00D56DE6" w:rsidRPr="00795825" w:rsidRDefault="00D56DE6" w:rsidP="00D56DE6">
      <w:pPr>
        <w:ind w:left="-142"/>
        <w:jc w:val="both"/>
        <w:rPr>
          <w:rFonts w:ascii="Arial" w:hAnsi="Arial" w:cs="Arial"/>
          <w:color w:val="000000"/>
          <w:sz w:val="18"/>
          <w:szCs w:val="20"/>
        </w:rPr>
      </w:pPr>
      <w:proofErr w:type="gramStart"/>
      <w:r w:rsidRPr="00795825">
        <w:rPr>
          <w:rFonts w:ascii="Arial" w:hAnsi="Arial" w:cs="Arial"/>
          <w:sz w:val="18"/>
          <w:szCs w:val="20"/>
        </w:rPr>
        <w:t>Sarah Muckle at Stein IAS</w:t>
      </w:r>
      <w:r w:rsidRPr="00795825">
        <w:rPr>
          <w:rFonts w:ascii="Arial" w:hAnsi="Arial" w:cs="Arial"/>
          <w:bCs/>
          <w:sz w:val="18"/>
          <w:szCs w:val="20"/>
        </w:rPr>
        <w:t>.</w:t>
      </w:r>
      <w:proofErr w:type="gramEnd"/>
      <w:r w:rsidRPr="00795825">
        <w:rPr>
          <w:rFonts w:ascii="Arial" w:hAnsi="Arial" w:cs="Arial"/>
          <w:bCs/>
          <w:sz w:val="18"/>
          <w:szCs w:val="20"/>
        </w:rPr>
        <w:t xml:space="preserve"> </w:t>
      </w:r>
      <w:proofErr w:type="gramStart"/>
      <w:r w:rsidRPr="00795825">
        <w:rPr>
          <w:rFonts w:ascii="Arial" w:hAnsi="Arial" w:cs="Arial"/>
          <w:sz w:val="18"/>
          <w:szCs w:val="20"/>
        </w:rPr>
        <w:t>Clarence Mill, Clarence Road, Bollington, SK10 5JZ, United Kingdom.</w:t>
      </w:r>
      <w:proofErr w:type="gramEnd"/>
      <w:r w:rsidRPr="00795825">
        <w:rPr>
          <w:rFonts w:ascii="Arial" w:hAnsi="Arial" w:cs="Arial"/>
          <w:sz w:val="18"/>
          <w:szCs w:val="20"/>
        </w:rPr>
        <w:t xml:space="preserve"> Tel: + 44 (0) 1625 578 578; Fax:  + 44 (0) 1625 578 579. Email: </w:t>
      </w:r>
      <w:hyperlink r:id="rId13" w:history="1">
        <w:r w:rsidRPr="00795825">
          <w:rPr>
            <w:rStyle w:val="Hyperlink"/>
            <w:rFonts w:ascii="Arial" w:hAnsi="Arial" w:cs="Arial"/>
            <w:sz w:val="18"/>
            <w:szCs w:val="20"/>
          </w:rPr>
          <w:t>sarah.muckle@steinias.com</w:t>
        </w:r>
      </w:hyperlink>
      <w:r w:rsidRPr="00795825">
        <w:rPr>
          <w:rFonts w:ascii="Arial" w:hAnsi="Arial" w:cs="Arial"/>
          <w:sz w:val="18"/>
          <w:szCs w:val="20"/>
        </w:rPr>
        <w:t xml:space="preserve">. </w:t>
      </w:r>
      <w:r w:rsidRPr="00795825">
        <w:rPr>
          <w:rFonts w:ascii="Arial" w:hAnsi="Arial" w:cs="Arial"/>
          <w:color w:val="000000"/>
          <w:sz w:val="18"/>
          <w:szCs w:val="20"/>
        </w:rPr>
        <w:t xml:space="preserve">  </w:t>
      </w:r>
    </w:p>
    <w:p w:rsidR="005927FD" w:rsidRPr="00795825" w:rsidRDefault="005927FD" w:rsidP="005927FD">
      <w:pPr>
        <w:jc w:val="both"/>
        <w:rPr>
          <w:rFonts w:ascii="Arial" w:eastAsia="SimSun" w:hAnsi="Arial" w:cs="Arial"/>
          <w:b/>
          <w:iCs/>
          <w:sz w:val="18"/>
          <w:szCs w:val="18"/>
          <w:lang w:val="en-GB" w:eastAsia="sv-SE" w:bidi="th-TH"/>
        </w:rPr>
      </w:pPr>
    </w:p>
    <w:p w:rsidR="00E637CB" w:rsidRPr="00795825" w:rsidRDefault="00E637CB" w:rsidP="005927FD">
      <w:pPr>
        <w:ind w:left="-142"/>
        <w:jc w:val="both"/>
        <w:rPr>
          <w:rFonts w:ascii="Arial" w:eastAsiaTheme="minorEastAsia" w:hAnsi="Arial" w:cs="Arial"/>
          <w:color w:val="000000"/>
          <w:sz w:val="18"/>
          <w:szCs w:val="20"/>
          <w:lang w:val="en-GB" w:eastAsia="zh-TW" w:bidi="th-TH"/>
        </w:rPr>
      </w:pPr>
      <w:r w:rsidRPr="00795825">
        <w:rPr>
          <w:rFonts w:ascii="Arial" w:eastAsia="SimSun" w:hAnsi="Arial" w:cs="Arial"/>
          <w:b/>
          <w:iCs/>
          <w:sz w:val="18"/>
          <w:szCs w:val="18"/>
          <w:lang w:val="en-GB" w:eastAsia="sv-SE" w:bidi="th-TH"/>
        </w:rPr>
        <w:t xml:space="preserve">Notes to Editors: </w:t>
      </w:r>
    </w:p>
    <w:p w:rsidR="00E637CB" w:rsidRPr="00795825" w:rsidRDefault="00E637CB" w:rsidP="00E637CB">
      <w:pPr>
        <w:ind w:left="-142"/>
        <w:jc w:val="both"/>
        <w:rPr>
          <w:rFonts w:ascii="Arial" w:eastAsiaTheme="minorEastAsia" w:hAnsi="Arial" w:cs="Arial"/>
          <w:color w:val="000000"/>
          <w:sz w:val="18"/>
          <w:szCs w:val="20"/>
          <w:lang w:val="en-GB" w:eastAsia="zh-TW" w:bidi="th-TH"/>
        </w:rPr>
      </w:pPr>
      <w:r w:rsidRPr="00795825">
        <w:rPr>
          <w:rFonts w:ascii="Arial" w:hAnsi="Arial" w:cs="Arial"/>
          <w:b/>
          <w:iCs/>
          <w:sz w:val="18"/>
          <w:szCs w:val="18"/>
        </w:rPr>
        <w:t>Trelleborg Group</w:t>
      </w:r>
    </w:p>
    <w:p w:rsidR="005927FD" w:rsidRPr="00795825" w:rsidRDefault="005927FD" w:rsidP="005927FD">
      <w:pPr>
        <w:ind w:left="-142"/>
        <w:jc w:val="both"/>
        <w:rPr>
          <w:rFonts w:ascii="Arial" w:eastAsiaTheme="minorEastAsia" w:hAnsi="Arial" w:cs="Arial"/>
          <w:color w:val="000000"/>
          <w:sz w:val="18"/>
          <w:szCs w:val="20"/>
          <w:lang w:val="en-GB" w:eastAsia="zh-TW" w:bidi="th-TH"/>
        </w:rPr>
      </w:pPr>
      <w:r w:rsidRPr="00795825">
        <w:rPr>
          <w:rFonts w:ascii="Arial" w:hAnsi="Arial" w:cs="Arial"/>
          <w:sz w:val="18"/>
          <w:szCs w:val="18"/>
        </w:rPr>
        <w:t xml:space="preserve">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22 billion (EUR 2.48 billion, USD 3.29 billion) in over 40 countries. The Group comprises five business areas: Trelleborg Coated Systems, Trelleborg Industrial Solutions, Trelleborg Offshore &amp; Construction, Trelleborg Sealing Solutions and Trelleborg Wheel Systems. In addition, Trelleborg owns 50 percent of </w:t>
      </w:r>
      <w:proofErr w:type="spellStart"/>
      <w:r w:rsidRPr="00795825">
        <w:rPr>
          <w:rFonts w:ascii="Arial" w:hAnsi="Arial" w:cs="Arial"/>
          <w:sz w:val="18"/>
          <w:szCs w:val="18"/>
        </w:rPr>
        <w:t>TrelleborgVibracoustic</w:t>
      </w:r>
      <w:proofErr w:type="spellEnd"/>
      <w:r w:rsidRPr="00795825">
        <w:rPr>
          <w:rFonts w:ascii="Arial" w:hAnsi="Arial" w:cs="Arial"/>
          <w:sz w:val="18"/>
          <w:szCs w:val="18"/>
        </w:rPr>
        <w:t xml:space="preserve">, a global leader within antivibration solutions for light and heavy vehicles, with annual sales of approximately SEK 16 billion (EUR 1.78 billion, USD 2.36 billion) in about 20 countries. The Trelleborg share has been listed on the Stock Exchange since 1964 and is listed on Nasdaq Stockholm, Large Cap. </w:t>
      </w:r>
      <w:hyperlink r:id="rId14" w:history="1">
        <w:r w:rsidRPr="00795825">
          <w:rPr>
            <w:rStyle w:val="Hyperlink"/>
            <w:rFonts w:ascii="Arial" w:hAnsi="Arial" w:cs="Arial"/>
            <w:sz w:val="18"/>
            <w:szCs w:val="18"/>
          </w:rPr>
          <w:t>www.trelleborg.com</w:t>
        </w:r>
      </w:hyperlink>
      <w:r w:rsidRPr="00795825">
        <w:rPr>
          <w:rFonts w:ascii="Arial" w:hAnsi="Arial" w:cs="Arial"/>
          <w:sz w:val="18"/>
          <w:szCs w:val="18"/>
        </w:rPr>
        <w:t xml:space="preserve">. </w:t>
      </w:r>
    </w:p>
    <w:p w:rsidR="00E637CB" w:rsidRPr="00795825" w:rsidRDefault="00E637CB" w:rsidP="00E637CB">
      <w:pPr>
        <w:ind w:left="-142"/>
        <w:jc w:val="both"/>
        <w:rPr>
          <w:rFonts w:ascii="Arial" w:eastAsiaTheme="minorEastAsia" w:hAnsi="Arial" w:cs="Arial"/>
          <w:color w:val="000000"/>
          <w:sz w:val="18"/>
          <w:szCs w:val="20"/>
          <w:lang w:val="en-GB" w:eastAsia="zh-TW" w:bidi="th-TH"/>
        </w:rPr>
      </w:pPr>
    </w:p>
    <w:p w:rsidR="00BC78A4" w:rsidRPr="00795825" w:rsidRDefault="00BC78A4">
      <w:pPr>
        <w:ind w:left="-142"/>
        <w:jc w:val="both"/>
        <w:rPr>
          <w:rFonts w:ascii="Arial" w:eastAsiaTheme="minorEastAsia" w:hAnsi="Arial" w:cs="Arial"/>
          <w:color w:val="000000"/>
          <w:sz w:val="18"/>
          <w:szCs w:val="20"/>
          <w:lang w:val="en-GB" w:eastAsia="zh-TW" w:bidi="th-TH"/>
        </w:rPr>
      </w:pPr>
    </w:p>
    <w:sectPr w:rsidR="00BC78A4" w:rsidRPr="00795825" w:rsidSect="00F61BC7">
      <w:pgSz w:w="12240" w:h="15840"/>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01" w:rsidRDefault="00DB1E01" w:rsidP="00555190">
      <w:r>
        <w:separator/>
      </w:r>
    </w:p>
  </w:endnote>
  <w:endnote w:type="continuationSeparator" w:id="0">
    <w:p w:rsidR="00DB1E01" w:rsidRDefault="00DB1E01"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01" w:rsidRDefault="00DB1E01" w:rsidP="00555190">
      <w:r>
        <w:separator/>
      </w:r>
    </w:p>
  </w:footnote>
  <w:footnote w:type="continuationSeparator" w:id="0">
    <w:p w:rsidR="00DB1E01" w:rsidRDefault="00DB1E01" w:rsidP="00555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DC"/>
    <w:rsid w:val="000033DA"/>
    <w:rsid w:val="000073A6"/>
    <w:rsid w:val="0001494B"/>
    <w:rsid w:val="00022140"/>
    <w:rsid w:val="00024EBF"/>
    <w:rsid w:val="00033055"/>
    <w:rsid w:val="00033E47"/>
    <w:rsid w:val="000346A8"/>
    <w:rsid w:val="00040341"/>
    <w:rsid w:val="000435BD"/>
    <w:rsid w:val="0006449A"/>
    <w:rsid w:val="00065070"/>
    <w:rsid w:val="00066676"/>
    <w:rsid w:val="00091DEA"/>
    <w:rsid w:val="00093D4E"/>
    <w:rsid w:val="00094A66"/>
    <w:rsid w:val="0009560F"/>
    <w:rsid w:val="00097AAB"/>
    <w:rsid w:val="000A04C2"/>
    <w:rsid w:val="000B76DC"/>
    <w:rsid w:val="000C44F0"/>
    <w:rsid w:val="000C6C84"/>
    <w:rsid w:val="000D1ADC"/>
    <w:rsid w:val="000D4597"/>
    <w:rsid w:val="000D653A"/>
    <w:rsid w:val="0010449E"/>
    <w:rsid w:val="00107B51"/>
    <w:rsid w:val="00107CA0"/>
    <w:rsid w:val="00115CCD"/>
    <w:rsid w:val="00117D2E"/>
    <w:rsid w:val="00136D84"/>
    <w:rsid w:val="0014031E"/>
    <w:rsid w:val="00145017"/>
    <w:rsid w:val="001547EF"/>
    <w:rsid w:val="00157A26"/>
    <w:rsid w:val="00160BB2"/>
    <w:rsid w:val="001612CD"/>
    <w:rsid w:val="0017668D"/>
    <w:rsid w:val="00180C3A"/>
    <w:rsid w:val="001856FD"/>
    <w:rsid w:val="001921DB"/>
    <w:rsid w:val="001A12C1"/>
    <w:rsid w:val="001A1448"/>
    <w:rsid w:val="001A6897"/>
    <w:rsid w:val="001B5115"/>
    <w:rsid w:val="001C08BF"/>
    <w:rsid w:val="001C0A2D"/>
    <w:rsid w:val="001D114D"/>
    <w:rsid w:val="001D3923"/>
    <w:rsid w:val="001E6B93"/>
    <w:rsid w:val="002021C2"/>
    <w:rsid w:val="0022269D"/>
    <w:rsid w:val="00226433"/>
    <w:rsid w:val="00233458"/>
    <w:rsid w:val="002407CA"/>
    <w:rsid w:val="00243165"/>
    <w:rsid w:val="00243E50"/>
    <w:rsid w:val="0025701F"/>
    <w:rsid w:val="00264A88"/>
    <w:rsid w:val="00265A79"/>
    <w:rsid w:val="00270718"/>
    <w:rsid w:val="00275237"/>
    <w:rsid w:val="00293499"/>
    <w:rsid w:val="0029589E"/>
    <w:rsid w:val="002A35A6"/>
    <w:rsid w:val="002A5D55"/>
    <w:rsid w:val="002A70CF"/>
    <w:rsid w:val="002B12D0"/>
    <w:rsid w:val="002B2A2C"/>
    <w:rsid w:val="002B5C2D"/>
    <w:rsid w:val="002B5D49"/>
    <w:rsid w:val="002B7AE8"/>
    <w:rsid w:val="002C2134"/>
    <w:rsid w:val="002C6B16"/>
    <w:rsid w:val="002D3E93"/>
    <w:rsid w:val="002E1E3A"/>
    <w:rsid w:val="002E2021"/>
    <w:rsid w:val="002E51F6"/>
    <w:rsid w:val="002F5019"/>
    <w:rsid w:val="00300BBA"/>
    <w:rsid w:val="003020DA"/>
    <w:rsid w:val="003132CF"/>
    <w:rsid w:val="00314AC4"/>
    <w:rsid w:val="00314F57"/>
    <w:rsid w:val="00316E60"/>
    <w:rsid w:val="00320C59"/>
    <w:rsid w:val="00320CBD"/>
    <w:rsid w:val="003216FE"/>
    <w:rsid w:val="003316AE"/>
    <w:rsid w:val="00336D19"/>
    <w:rsid w:val="003445A2"/>
    <w:rsid w:val="00347656"/>
    <w:rsid w:val="003720C2"/>
    <w:rsid w:val="00380438"/>
    <w:rsid w:val="0038172A"/>
    <w:rsid w:val="00386D55"/>
    <w:rsid w:val="00387C9B"/>
    <w:rsid w:val="003920C9"/>
    <w:rsid w:val="00392120"/>
    <w:rsid w:val="00394B85"/>
    <w:rsid w:val="003B0904"/>
    <w:rsid w:val="003B29E0"/>
    <w:rsid w:val="003C0D90"/>
    <w:rsid w:val="003D30A1"/>
    <w:rsid w:val="003D6C2C"/>
    <w:rsid w:val="003D7C5D"/>
    <w:rsid w:val="003E4F19"/>
    <w:rsid w:val="003E78D2"/>
    <w:rsid w:val="003F70E3"/>
    <w:rsid w:val="004042C2"/>
    <w:rsid w:val="00416289"/>
    <w:rsid w:val="00421FA8"/>
    <w:rsid w:val="00422079"/>
    <w:rsid w:val="00424EBD"/>
    <w:rsid w:val="00425F6E"/>
    <w:rsid w:val="00433A39"/>
    <w:rsid w:val="00444477"/>
    <w:rsid w:val="00450BBF"/>
    <w:rsid w:val="00453B97"/>
    <w:rsid w:val="004608A5"/>
    <w:rsid w:val="00463326"/>
    <w:rsid w:val="0046382B"/>
    <w:rsid w:val="0046622B"/>
    <w:rsid w:val="00467E94"/>
    <w:rsid w:val="00483674"/>
    <w:rsid w:val="00485EDC"/>
    <w:rsid w:val="00486B78"/>
    <w:rsid w:val="00486EE9"/>
    <w:rsid w:val="00492771"/>
    <w:rsid w:val="00495B8E"/>
    <w:rsid w:val="004A0031"/>
    <w:rsid w:val="004A0D65"/>
    <w:rsid w:val="004A56D3"/>
    <w:rsid w:val="004A56F4"/>
    <w:rsid w:val="004B2E4D"/>
    <w:rsid w:val="004B4FB5"/>
    <w:rsid w:val="004C6A38"/>
    <w:rsid w:val="004D15F3"/>
    <w:rsid w:val="004E108A"/>
    <w:rsid w:val="004E1961"/>
    <w:rsid w:val="004E2B01"/>
    <w:rsid w:val="004F5869"/>
    <w:rsid w:val="00502E86"/>
    <w:rsid w:val="00505434"/>
    <w:rsid w:val="005072F3"/>
    <w:rsid w:val="005220FD"/>
    <w:rsid w:val="00534E25"/>
    <w:rsid w:val="00546272"/>
    <w:rsid w:val="00555190"/>
    <w:rsid w:val="0055620C"/>
    <w:rsid w:val="0056590E"/>
    <w:rsid w:val="0057365D"/>
    <w:rsid w:val="00576944"/>
    <w:rsid w:val="005804E4"/>
    <w:rsid w:val="00583FE9"/>
    <w:rsid w:val="005927FD"/>
    <w:rsid w:val="005A31DF"/>
    <w:rsid w:val="005B04D3"/>
    <w:rsid w:val="005B6C33"/>
    <w:rsid w:val="005C54A1"/>
    <w:rsid w:val="005D1E23"/>
    <w:rsid w:val="005D6176"/>
    <w:rsid w:val="005E10B3"/>
    <w:rsid w:val="005E271C"/>
    <w:rsid w:val="005E790A"/>
    <w:rsid w:val="00602C43"/>
    <w:rsid w:val="0061401C"/>
    <w:rsid w:val="006163D3"/>
    <w:rsid w:val="00623160"/>
    <w:rsid w:val="00650AC3"/>
    <w:rsid w:val="006547CF"/>
    <w:rsid w:val="006647D7"/>
    <w:rsid w:val="006727B5"/>
    <w:rsid w:val="00673D79"/>
    <w:rsid w:val="00680419"/>
    <w:rsid w:val="00681970"/>
    <w:rsid w:val="0069082C"/>
    <w:rsid w:val="00691379"/>
    <w:rsid w:val="006A34C6"/>
    <w:rsid w:val="006A4297"/>
    <w:rsid w:val="006A4B4E"/>
    <w:rsid w:val="006A5584"/>
    <w:rsid w:val="006A5693"/>
    <w:rsid w:val="006A7D81"/>
    <w:rsid w:val="006B4C07"/>
    <w:rsid w:val="006B5FA1"/>
    <w:rsid w:val="006C09CA"/>
    <w:rsid w:val="006E0984"/>
    <w:rsid w:val="006E3BBB"/>
    <w:rsid w:val="006E3F6C"/>
    <w:rsid w:val="006F387B"/>
    <w:rsid w:val="006F699B"/>
    <w:rsid w:val="0070320C"/>
    <w:rsid w:val="00706812"/>
    <w:rsid w:val="00717018"/>
    <w:rsid w:val="00717782"/>
    <w:rsid w:val="0072263D"/>
    <w:rsid w:val="00725B88"/>
    <w:rsid w:val="00726BA8"/>
    <w:rsid w:val="007309A2"/>
    <w:rsid w:val="007327C3"/>
    <w:rsid w:val="00734628"/>
    <w:rsid w:val="00742666"/>
    <w:rsid w:val="007431C2"/>
    <w:rsid w:val="00743623"/>
    <w:rsid w:val="00752CD1"/>
    <w:rsid w:val="00777D27"/>
    <w:rsid w:val="00790274"/>
    <w:rsid w:val="00790574"/>
    <w:rsid w:val="00793890"/>
    <w:rsid w:val="00794597"/>
    <w:rsid w:val="00795825"/>
    <w:rsid w:val="00796ED8"/>
    <w:rsid w:val="00797AB6"/>
    <w:rsid w:val="007A0BF6"/>
    <w:rsid w:val="007B1792"/>
    <w:rsid w:val="007B2BE0"/>
    <w:rsid w:val="007B3B0A"/>
    <w:rsid w:val="007B3F79"/>
    <w:rsid w:val="007B552F"/>
    <w:rsid w:val="007B6137"/>
    <w:rsid w:val="007B6AED"/>
    <w:rsid w:val="007D7D5F"/>
    <w:rsid w:val="007E24AE"/>
    <w:rsid w:val="007E7E70"/>
    <w:rsid w:val="007F28BC"/>
    <w:rsid w:val="007F4B5D"/>
    <w:rsid w:val="007F7AF8"/>
    <w:rsid w:val="008039D1"/>
    <w:rsid w:val="008064DE"/>
    <w:rsid w:val="008133BF"/>
    <w:rsid w:val="00814AC1"/>
    <w:rsid w:val="008172BC"/>
    <w:rsid w:val="008202D9"/>
    <w:rsid w:val="008204A0"/>
    <w:rsid w:val="00831302"/>
    <w:rsid w:val="0083264D"/>
    <w:rsid w:val="0084426A"/>
    <w:rsid w:val="00851A4F"/>
    <w:rsid w:val="008555B1"/>
    <w:rsid w:val="00863955"/>
    <w:rsid w:val="00871FB3"/>
    <w:rsid w:val="00876C0F"/>
    <w:rsid w:val="0088021B"/>
    <w:rsid w:val="008946D2"/>
    <w:rsid w:val="008A161B"/>
    <w:rsid w:val="008A16A7"/>
    <w:rsid w:val="008A3ABA"/>
    <w:rsid w:val="008A73BC"/>
    <w:rsid w:val="008A7413"/>
    <w:rsid w:val="008B4FBA"/>
    <w:rsid w:val="008C1AF6"/>
    <w:rsid w:val="008C500F"/>
    <w:rsid w:val="008C5088"/>
    <w:rsid w:val="008D72C9"/>
    <w:rsid w:val="008D77C9"/>
    <w:rsid w:val="008E795D"/>
    <w:rsid w:val="008F12C1"/>
    <w:rsid w:val="008F3F23"/>
    <w:rsid w:val="008F6A63"/>
    <w:rsid w:val="00920252"/>
    <w:rsid w:val="0092256D"/>
    <w:rsid w:val="00923719"/>
    <w:rsid w:val="009242C4"/>
    <w:rsid w:val="00926BA7"/>
    <w:rsid w:val="0093334B"/>
    <w:rsid w:val="00934483"/>
    <w:rsid w:val="009548C6"/>
    <w:rsid w:val="0096036A"/>
    <w:rsid w:val="009666E9"/>
    <w:rsid w:val="00971A2A"/>
    <w:rsid w:val="00972105"/>
    <w:rsid w:val="009862B3"/>
    <w:rsid w:val="00992130"/>
    <w:rsid w:val="009924A6"/>
    <w:rsid w:val="009960C5"/>
    <w:rsid w:val="00996C9E"/>
    <w:rsid w:val="009976D9"/>
    <w:rsid w:val="009A001E"/>
    <w:rsid w:val="009A1D46"/>
    <w:rsid w:val="009A7934"/>
    <w:rsid w:val="009B303F"/>
    <w:rsid w:val="009B45DA"/>
    <w:rsid w:val="009B780D"/>
    <w:rsid w:val="009C10F3"/>
    <w:rsid w:val="009D03ED"/>
    <w:rsid w:val="009D1C1F"/>
    <w:rsid w:val="009D2B93"/>
    <w:rsid w:val="009F18E7"/>
    <w:rsid w:val="009F32B1"/>
    <w:rsid w:val="009F5547"/>
    <w:rsid w:val="00A00B7E"/>
    <w:rsid w:val="00A04FB2"/>
    <w:rsid w:val="00A16CB3"/>
    <w:rsid w:val="00A21162"/>
    <w:rsid w:val="00A32817"/>
    <w:rsid w:val="00A43812"/>
    <w:rsid w:val="00A44AAA"/>
    <w:rsid w:val="00A471BB"/>
    <w:rsid w:val="00A52023"/>
    <w:rsid w:val="00A5211C"/>
    <w:rsid w:val="00A52983"/>
    <w:rsid w:val="00A537EA"/>
    <w:rsid w:val="00A57F50"/>
    <w:rsid w:val="00A60BB3"/>
    <w:rsid w:val="00A65F07"/>
    <w:rsid w:val="00A70A66"/>
    <w:rsid w:val="00A743B5"/>
    <w:rsid w:val="00A96074"/>
    <w:rsid w:val="00A96116"/>
    <w:rsid w:val="00A97BE4"/>
    <w:rsid w:val="00AA3B1B"/>
    <w:rsid w:val="00AB17A0"/>
    <w:rsid w:val="00AB2994"/>
    <w:rsid w:val="00AB364E"/>
    <w:rsid w:val="00AB5D61"/>
    <w:rsid w:val="00AB7330"/>
    <w:rsid w:val="00AD26D0"/>
    <w:rsid w:val="00AD32DA"/>
    <w:rsid w:val="00AD72D5"/>
    <w:rsid w:val="00AE33EE"/>
    <w:rsid w:val="00AE497C"/>
    <w:rsid w:val="00AE5381"/>
    <w:rsid w:val="00AF12B8"/>
    <w:rsid w:val="00B03BC6"/>
    <w:rsid w:val="00B040C1"/>
    <w:rsid w:val="00B04B7A"/>
    <w:rsid w:val="00B058C6"/>
    <w:rsid w:val="00B104F2"/>
    <w:rsid w:val="00B1562B"/>
    <w:rsid w:val="00B218EB"/>
    <w:rsid w:val="00B21EC6"/>
    <w:rsid w:val="00B34097"/>
    <w:rsid w:val="00B41741"/>
    <w:rsid w:val="00B44753"/>
    <w:rsid w:val="00B45577"/>
    <w:rsid w:val="00B51FC3"/>
    <w:rsid w:val="00B5779A"/>
    <w:rsid w:val="00B6035E"/>
    <w:rsid w:val="00B606D9"/>
    <w:rsid w:val="00B60A63"/>
    <w:rsid w:val="00B75159"/>
    <w:rsid w:val="00B75328"/>
    <w:rsid w:val="00B766C6"/>
    <w:rsid w:val="00B90BF7"/>
    <w:rsid w:val="00B9169C"/>
    <w:rsid w:val="00B94845"/>
    <w:rsid w:val="00BA18F6"/>
    <w:rsid w:val="00BA43E1"/>
    <w:rsid w:val="00BB0340"/>
    <w:rsid w:val="00BB0B50"/>
    <w:rsid w:val="00BB3E7D"/>
    <w:rsid w:val="00BB4D1B"/>
    <w:rsid w:val="00BC51B7"/>
    <w:rsid w:val="00BC530C"/>
    <w:rsid w:val="00BC78A4"/>
    <w:rsid w:val="00BD030D"/>
    <w:rsid w:val="00BD7E12"/>
    <w:rsid w:val="00BE6FAC"/>
    <w:rsid w:val="00BF14B6"/>
    <w:rsid w:val="00BF4999"/>
    <w:rsid w:val="00C02D6D"/>
    <w:rsid w:val="00C0445F"/>
    <w:rsid w:val="00C06060"/>
    <w:rsid w:val="00C10567"/>
    <w:rsid w:val="00C126A2"/>
    <w:rsid w:val="00C12A8B"/>
    <w:rsid w:val="00C17799"/>
    <w:rsid w:val="00C24EB4"/>
    <w:rsid w:val="00C26DFE"/>
    <w:rsid w:val="00C273A2"/>
    <w:rsid w:val="00C36BA2"/>
    <w:rsid w:val="00C42486"/>
    <w:rsid w:val="00C42A09"/>
    <w:rsid w:val="00C52103"/>
    <w:rsid w:val="00C67914"/>
    <w:rsid w:val="00C8216C"/>
    <w:rsid w:val="00C83CD5"/>
    <w:rsid w:val="00C8455E"/>
    <w:rsid w:val="00C901BC"/>
    <w:rsid w:val="00C96BBA"/>
    <w:rsid w:val="00CA0A38"/>
    <w:rsid w:val="00CA545D"/>
    <w:rsid w:val="00CB2887"/>
    <w:rsid w:val="00CB79AA"/>
    <w:rsid w:val="00CB79F6"/>
    <w:rsid w:val="00CC43B2"/>
    <w:rsid w:val="00CC7424"/>
    <w:rsid w:val="00CD0C32"/>
    <w:rsid w:val="00CD3337"/>
    <w:rsid w:val="00CD3A9B"/>
    <w:rsid w:val="00CD6A3F"/>
    <w:rsid w:val="00CD6FEA"/>
    <w:rsid w:val="00CE070E"/>
    <w:rsid w:val="00CE5C18"/>
    <w:rsid w:val="00CE6ADE"/>
    <w:rsid w:val="00D0032E"/>
    <w:rsid w:val="00D012D5"/>
    <w:rsid w:val="00D02EA3"/>
    <w:rsid w:val="00D13DED"/>
    <w:rsid w:val="00D20B96"/>
    <w:rsid w:val="00D27BAC"/>
    <w:rsid w:val="00D30F2E"/>
    <w:rsid w:val="00D32389"/>
    <w:rsid w:val="00D35B5A"/>
    <w:rsid w:val="00D4320B"/>
    <w:rsid w:val="00D44740"/>
    <w:rsid w:val="00D501BD"/>
    <w:rsid w:val="00D51973"/>
    <w:rsid w:val="00D56DE6"/>
    <w:rsid w:val="00D6542C"/>
    <w:rsid w:val="00D67D4F"/>
    <w:rsid w:val="00D76D3C"/>
    <w:rsid w:val="00D80727"/>
    <w:rsid w:val="00D948EA"/>
    <w:rsid w:val="00D958CE"/>
    <w:rsid w:val="00DA135F"/>
    <w:rsid w:val="00DA16BF"/>
    <w:rsid w:val="00DA5D42"/>
    <w:rsid w:val="00DB0588"/>
    <w:rsid w:val="00DB1CCF"/>
    <w:rsid w:val="00DB1E01"/>
    <w:rsid w:val="00DB29FB"/>
    <w:rsid w:val="00DB5922"/>
    <w:rsid w:val="00DB6BFB"/>
    <w:rsid w:val="00DB76D9"/>
    <w:rsid w:val="00DC42E8"/>
    <w:rsid w:val="00DC621F"/>
    <w:rsid w:val="00DD4803"/>
    <w:rsid w:val="00DE0474"/>
    <w:rsid w:val="00DF1DBE"/>
    <w:rsid w:val="00E03C49"/>
    <w:rsid w:val="00E0785D"/>
    <w:rsid w:val="00E25F68"/>
    <w:rsid w:val="00E27B8A"/>
    <w:rsid w:val="00E3682A"/>
    <w:rsid w:val="00E40E17"/>
    <w:rsid w:val="00E42618"/>
    <w:rsid w:val="00E42BA7"/>
    <w:rsid w:val="00E448A5"/>
    <w:rsid w:val="00E45E2D"/>
    <w:rsid w:val="00E621E3"/>
    <w:rsid w:val="00E62A7A"/>
    <w:rsid w:val="00E637CB"/>
    <w:rsid w:val="00E64FEC"/>
    <w:rsid w:val="00E676F6"/>
    <w:rsid w:val="00E67CD4"/>
    <w:rsid w:val="00E801EE"/>
    <w:rsid w:val="00E81D3B"/>
    <w:rsid w:val="00E82975"/>
    <w:rsid w:val="00E864D8"/>
    <w:rsid w:val="00E92999"/>
    <w:rsid w:val="00EA1D4A"/>
    <w:rsid w:val="00EA1FF6"/>
    <w:rsid w:val="00EA72DD"/>
    <w:rsid w:val="00EB0F1B"/>
    <w:rsid w:val="00EB40EB"/>
    <w:rsid w:val="00EC1A1B"/>
    <w:rsid w:val="00EC203C"/>
    <w:rsid w:val="00EC3FE4"/>
    <w:rsid w:val="00ED1785"/>
    <w:rsid w:val="00ED27DF"/>
    <w:rsid w:val="00ED73C5"/>
    <w:rsid w:val="00EE1782"/>
    <w:rsid w:val="00EE55E5"/>
    <w:rsid w:val="00EF019D"/>
    <w:rsid w:val="00EF06B6"/>
    <w:rsid w:val="00EF62C0"/>
    <w:rsid w:val="00EF649C"/>
    <w:rsid w:val="00EF6801"/>
    <w:rsid w:val="00EF6A4D"/>
    <w:rsid w:val="00EF6DF1"/>
    <w:rsid w:val="00F018F0"/>
    <w:rsid w:val="00F039F5"/>
    <w:rsid w:val="00F03B23"/>
    <w:rsid w:val="00F0416E"/>
    <w:rsid w:val="00F044CF"/>
    <w:rsid w:val="00F178A0"/>
    <w:rsid w:val="00F263FC"/>
    <w:rsid w:val="00F331A2"/>
    <w:rsid w:val="00F427E9"/>
    <w:rsid w:val="00F47670"/>
    <w:rsid w:val="00F617D9"/>
    <w:rsid w:val="00F61BC7"/>
    <w:rsid w:val="00F71654"/>
    <w:rsid w:val="00F7357C"/>
    <w:rsid w:val="00F739D7"/>
    <w:rsid w:val="00F760CA"/>
    <w:rsid w:val="00F86A86"/>
    <w:rsid w:val="00F915D8"/>
    <w:rsid w:val="00FC0B76"/>
    <w:rsid w:val="00FC2FDC"/>
    <w:rsid w:val="00FC3DCC"/>
    <w:rsid w:val="00FD5D41"/>
    <w:rsid w:val="00FD7E52"/>
    <w:rsid w:val="00FE0531"/>
    <w:rsid w:val="00FF1717"/>
    <w:rsid w:val="00FF37FB"/>
    <w:rsid w:val="00FF4169"/>
    <w:rsid w:val="00FF4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semiHidden/>
    <w:unhideWhenUsed/>
    <w:rsid w:val="00555190"/>
    <w:pPr>
      <w:tabs>
        <w:tab w:val="center" w:pos="4513"/>
        <w:tab w:val="right" w:pos="9026"/>
      </w:tabs>
    </w:pPr>
  </w:style>
  <w:style w:type="character" w:customStyle="1" w:styleId="HeaderChar">
    <w:name w:val="Header Char"/>
    <w:basedOn w:val="DefaultParagraphFont"/>
    <w:link w:val="Header"/>
    <w:uiPriority w:val="99"/>
    <w:semiHidden/>
    <w:rsid w:val="00555190"/>
    <w:rPr>
      <w:rFonts w:ascii="Verdana" w:hAnsi="Verdana"/>
      <w:szCs w:val="24"/>
      <w:lang w:val="en-US" w:eastAsia="en-US"/>
    </w:rPr>
  </w:style>
  <w:style w:type="paragraph" w:styleId="Footer">
    <w:name w:val="footer"/>
    <w:basedOn w:val="Normal"/>
    <w:link w:val="FooterChar"/>
    <w:uiPriority w:val="99"/>
    <w:semiHidden/>
    <w:unhideWhenUsed/>
    <w:rsid w:val="00555190"/>
    <w:pPr>
      <w:tabs>
        <w:tab w:val="center" w:pos="4513"/>
        <w:tab w:val="right" w:pos="9026"/>
      </w:tabs>
    </w:pPr>
  </w:style>
  <w:style w:type="character" w:customStyle="1" w:styleId="FooterChar">
    <w:name w:val="Footer Char"/>
    <w:basedOn w:val="DefaultParagraphFont"/>
    <w:link w:val="Footer"/>
    <w:uiPriority w:val="99"/>
    <w:semiHidden/>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styleId="Strong">
    <w:name w:val="Strong"/>
    <w:basedOn w:val="DefaultParagraphFont"/>
    <w:uiPriority w:val="22"/>
    <w:qFormat/>
    <w:rsid w:val="005927FD"/>
    <w:rPr>
      <w:b/>
      <w:bCs/>
    </w:rPr>
  </w:style>
  <w:style w:type="character" w:styleId="FollowedHyperlink">
    <w:name w:val="FollowedHyperlink"/>
    <w:basedOn w:val="DefaultParagraphFont"/>
    <w:uiPriority w:val="99"/>
    <w:semiHidden/>
    <w:unhideWhenUsed/>
    <w:rsid w:val="00650A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semiHidden/>
    <w:unhideWhenUsed/>
    <w:rsid w:val="00555190"/>
    <w:pPr>
      <w:tabs>
        <w:tab w:val="center" w:pos="4513"/>
        <w:tab w:val="right" w:pos="9026"/>
      </w:tabs>
    </w:pPr>
  </w:style>
  <w:style w:type="character" w:customStyle="1" w:styleId="HeaderChar">
    <w:name w:val="Header Char"/>
    <w:basedOn w:val="DefaultParagraphFont"/>
    <w:link w:val="Header"/>
    <w:uiPriority w:val="99"/>
    <w:semiHidden/>
    <w:rsid w:val="00555190"/>
    <w:rPr>
      <w:rFonts w:ascii="Verdana" w:hAnsi="Verdana"/>
      <w:szCs w:val="24"/>
      <w:lang w:val="en-US" w:eastAsia="en-US"/>
    </w:rPr>
  </w:style>
  <w:style w:type="paragraph" w:styleId="Footer">
    <w:name w:val="footer"/>
    <w:basedOn w:val="Normal"/>
    <w:link w:val="FooterChar"/>
    <w:uiPriority w:val="99"/>
    <w:semiHidden/>
    <w:unhideWhenUsed/>
    <w:rsid w:val="00555190"/>
    <w:pPr>
      <w:tabs>
        <w:tab w:val="center" w:pos="4513"/>
        <w:tab w:val="right" w:pos="9026"/>
      </w:tabs>
    </w:pPr>
  </w:style>
  <w:style w:type="character" w:customStyle="1" w:styleId="FooterChar">
    <w:name w:val="Footer Char"/>
    <w:basedOn w:val="DefaultParagraphFont"/>
    <w:link w:val="Footer"/>
    <w:uiPriority w:val="99"/>
    <w:semiHidden/>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styleId="Strong">
    <w:name w:val="Strong"/>
    <w:basedOn w:val="DefaultParagraphFont"/>
    <w:uiPriority w:val="22"/>
    <w:qFormat/>
    <w:rsid w:val="005927FD"/>
    <w:rPr>
      <w:b/>
      <w:bCs/>
    </w:rPr>
  </w:style>
  <w:style w:type="character" w:styleId="FollowedHyperlink">
    <w:name w:val="FollowedHyperlink"/>
    <w:basedOn w:val="DefaultParagraphFont"/>
    <w:uiPriority w:val="99"/>
    <w:semiHidden/>
    <w:unhideWhenUsed/>
    <w:rsid w:val="00650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2247">
      <w:bodyDiv w:val="1"/>
      <w:marLeft w:val="0"/>
      <w:marRight w:val="0"/>
      <w:marTop w:val="0"/>
      <w:marBottom w:val="0"/>
      <w:divBdr>
        <w:top w:val="none" w:sz="0" w:space="0" w:color="auto"/>
        <w:left w:val="none" w:sz="0" w:space="0" w:color="auto"/>
        <w:bottom w:val="none" w:sz="0" w:space="0" w:color="auto"/>
        <w:right w:val="none" w:sz="0" w:space="0" w:color="auto"/>
      </w:divBdr>
    </w:div>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5272">
      <w:bodyDiv w:val="1"/>
      <w:marLeft w:val="0"/>
      <w:marRight w:val="0"/>
      <w:marTop w:val="0"/>
      <w:marBottom w:val="0"/>
      <w:divBdr>
        <w:top w:val="none" w:sz="0" w:space="0" w:color="auto"/>
        <w:left w:val="none" w:sz="0" w:space="0" w:color="auto"/>
        <w:bottom w:val="none" w:sz="0" w:space="0" w:color="auto"/>
        <w:right w:val="none" w:sz="0" w:space="0" w:color="auto"/>
      </w:divBdr>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583998">
      <w:bodyDiv w:val="1"/>
      <w:marLeft w:val="0"/>
      <w:marRight w:val="0"/>
      <w:marTop w:val="0"/>
      <w:marBottom w:val="0"/>
      <w:divBdr>
        <w:top w:val="none" w:sz="0" w:space="0" w:color="auto"/>
        <w:left w:val="none" w:sz="0" w:space="0" w:color="auto"/>
        <w:bottom w:val="none" w:sz="0" w:space="0" w:color="auto"/>
        <w:right w:val="none" w:sz="0" w:space="0" w:color="auto"/>
      </w:divBdr>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ah.muckle@steini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lerie@rippleeffect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th.clay@trellebor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legraph.co.uk/finance/oilprices/11443080/Oil-prices-at-60-is-new-normal-says-Colombian-finance-minister.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rellebo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EB5FA-8068-4DF7-A6F9-4135D095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7463</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Wheble</dc:creator>
  <cp:lastModifiedBy>Jan Sklucki</cp:lastModifiedBy>
  <cp:revision>2</cp:revision>
  <cp:lastPrinted>2015-03-12T08:07:00Z</cp:lastPrinted>
  <dcterms:created xsi:type="dcterms:W3CDTF">2015-04-01T12:36:00Z</dcterms:created>
  <dcterms:modified xsi:type="dcterms:W3CDTF">2015-04-01T12:36:00Z</dcterms:modified>
</cp:coreProperties>
</file>